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6B" w:rsidRDefault="006B347D" w:rsidP="00416B97">
      <w:pPr>
        <w:spacing w:line="276" w:lineRule="auto"/>
        <w:jc w:val="center"/>
        <w:outlineLvl w:val="0"/>
        <w:rPr>
          <w:b/>
        </w:rPr>
      </w:pPr>
      <w:r>
        <w:rPr>
          <w:b/>
        </w:rPr>
        <w:t>Green Field Flow Modeling Workflow</w:t>
      </w:r>
    </w:p>
    <w:p w:rsidR="006B347D" w:rsidRDefault="006B347D" w:rsidP="006B347D">
      <w:pPr>
        <w:spacing w:line="276" w:lineRule="auto"/>
        <w:jc w:val="center"/>
        <w:rPr>
          <w:b/>
        </w:rPr>
      </w:pPr>
      <w:r>
        <w:rPr>
          <w:b/>
        </w:rPr>
        <w:t xml:space="preserve">John R. </w:t>
      </w:r>
      <w:proofErr w:type="spellStart"/>
      <w:r>
        <w:rPr>
          <w:b/>
        </w:rPr>
        <w:t>Fanchi</w:t>
      </w:r>
      <w:proofErr w:type="spellEnd"/>
    </w:p>
    <w:p w:rsidR="006B347D" w:rsidRDefault="006B347D" w:rsidP="006B347D">
      <w:pPr>
        <w:spacing w:line="276" w:lineRule="auto"/>
        <w:jc w:val="center"/>
        <w:rPr>
          <w:b/>
        </w:rPr>
      </w:pPr>
      <w:r>
        <w:rPr>
          <w:b/>
        </w:rPr>
        <w:t>Department of Engineering and Energy Institute</w:t>
      </w:r>
    </w:p>
    <w:p w:rsidR="006B347D" w:rsidRDefault="006B347D" w:rsidP="006B347D">
      <w:pPr>
        <w:spacing w:line="276" w:lineRule="auto"/>
        <w:jc w:val="center"/>
        <w:rPr>
          <w:b/>
        </w:rPr>
      </w:pPr>
      <w:r>
        <w:rPr>
          <w:b/>
        </w:rPr>
        <w:t>Texas Christian University</w:t>
      </w:r>
    </w:p>
    <w:p w:rsidR="006B347D" w:rsidRDefault="006B347D" w:rsidP="00416B97">
      <w:pPr>
        <w:spacing w:line="276" w:lineRule="auto"/>
        <w:jc w:val="center"/>
        <w:outlineLvl w:val="0"/>
        <w:rPr>
          <w:b/>
        </w:rPr>
      </w:pPr>
      <w:r>
        <w:rPr>
          <w:b/>
        </w:rPr>
        <w:t>Fort Worth, TX</w:t>
      </w:r>
    </w:p>
    <w:p w:rsidR="006B347D" w:rsidRDefault="006B347D" w:rsidP="00416B97">
      <w:pPr>
        <w:spacing w:line="276" w:lineRule="auto"/>
        <w:jc w:val="center"/>
        <w:outlineLvl w:val="0"/>
        <w:rPr>
          <w:b/>
        </w:rPr>
      </w:pPr>
      <w:r>
        <w:rPr>
          <w:b/>
        </w:rPr>
        <w:t>j.r.fanchi@tcu.edu</w:t>
      </w:r>
    </w:p>
    <w:p w:rsidR="006B347D" w:rsidRPr="005B4D89" w:rsidRDefault="006B347D" w:rsidP="00416B97">
      <w:pPr>
        <w:spacing w:line="276" w:lineRule="auto"/>
        <w:jc w:val="center"/>
        <w:outlineLvl w:val="0"/>
        <w:rPr>
          <w:b/>
        </w:rPr>
      </w:pPr>
      <w:r>
        <w:rPr>
          <w:b/>
        </w:rPr>
        <w:t>June 12, 2010</w:t>
      </w:r>
    </w:p>
    <w:p w:rsidR="006B347D" w:rsidRDefault="006B347D" w:rsidP="00F4216B">
      <w:pPr>
        <w:spacing w:line="276" w:lineRule="auto"/>
        <w:jc w:val="both"/>
      </w:pPr>
    </w:p>
    <w:p w:rsidR="00F4216B" w:rsidRPr="005B4D89" w:rsidRDefault="00F4216B" w:rsidP="00F4216B">
      <w:pPr>
        <w:spacing w:line="276" w:lineRule="auto"/>
        <w:jc w:val="both"/>
      </w:pPr>
      <w:r w:rsidRPr="005B4D89">
        <w:t xml:space="preserve">Excerpted from </w:t>
      </w:r>
      <w:r w:rsidRPr="005B4D89">
        <w:rPr>
          <w:b/>
        </w:rPr>
        <w:t>Integrated Reservoir Asset Management</w:t>
      </w:r>
      <w:r w:rsidRPr="005B4D89">
        <w:t xml:space="preserve">, John R. </w:t>
      </w:r>
      <w:proofErr w:type="spellStart"/>
      <w:r w:rsidRPr="005B4D89">
        <w:t>Fanchi</w:t>
      </w:r>
      <w:proofErr w:type="spellEnd"/>
      <w:r w:rsidRPr="005B4D89">
        <w:t xml:space="preserve">, </w:t>
      </w:r>
      <w:r w:rsidR="00827D98">
        <w:t xml:space="preserve">Elsevier-Gulf Professional Publishing, Burlington, </w:t>
      </w:r>
      <w:proofErr w:type="gramStart"/>
      <w:r w:rsidR="00827D98">
        <w:t>Massachusetts</w:t>
      </w:r>
      <w:r w:rsidR="00827D98" w:rsidRPr="005B4D89">
        <w:t xml:space="preserve"> </w:t>
      </w:r>
      <w:r w:rsidR="00827D98">
        <w:t>,</w:t>
      </w:r>
      <w:r w:rsidRPr="005B4D89">
        <w:t>2010</w:t>
      </w:r>
      <w:proofErr w:type="gramEnd"/>
    </w:p>
    <w:p w:rsidR="005B4D89" w:rsidRPr="005B4D89" w:rsidRDefault="005B4D89" w:rsidP="00F4216B">
      <w:pPr>
        <w:spacing w:line="276" w:lineRule="auto"/>
        <w:jc w:val="both"/>
      </w:pPr>
    </w:p>
    <w:p w:rsidR="00FE7078" w:rsidRPr="005B4D89" w:rsidRDefault="00812EE9" w:rsidP="00F4216B">
      <w:pPr>
        <w:spacing w:line="276" w:lineRule="auto"/>
        <w:jc w:val="both"/>
      </w:pPr>
      <w:r w:rsidRPr="005B4D89">
        <w:tab/>
      </w:r>
      <w:r w:rsidR="00967F37" w:rsidRPr="005B4D89">
        <w:t xml:space="preserve">Different workflows exist for designing, implementing and executing reservoir </w:t>
      </w:r>
      <w:r w:rsidR="005B4D89">
        <w:t xml:space="preserve">asset management </w:t>
      </w:r>
      <w:r w:rsidR="00967F37" w:rsidRPr="005B4D89">
        <w:t xml:space="preserve">projects. </w:t>
      </w:r>
      <w:r w:rsidR="008B50A3" w:rsidRPr="005B4D89">
        <w:t>A typical workflow needs to identify project opportunities, generate and evaluate alternatives, select and design the desired alternative, implement the alternative, operate the alternative over the life of the project</w:t>
      </w:r>
      <w:r w:rsidR="00A83627" w:rsidRPr="005B4D89">
        <w:t>, including abandonment, and then evaluate the success of the project</w:t>
      </w:r>
      <w:r w:rsidR="00FD2C22" w:rsidRPr="005B4D89">
        <w:t xml:space="preserve"> so lessons can be learned and applied to future projects</w:t>
      </w:r>
      <w:r w:rsidR="00A83627" w:rsidRPr="005B4D89">
        <w:t>.</w:t>
      </w:r>
      <w:r w:rsidR="00967F37" w:rsidRPr="005B4D89">
        <w:t xml:space="preserve"> </w:t>
      </w:r>
      <w:r w:rsidR="004E7E1A" w:rsidRPr="005B4D89">
        <w:t xml:space="preserve">Reservoir </w:t>
      </w:r>
      <w:r w:rsidR="00760568" w:rsidRPr="005B4D89">
        <w:t>flow models</w:t>
      </w:r>
      <w:r w:rsidR="004E7E1A" w:rsidRPr="005B4D89">
        <w:t xml:space="preserve">, which are also known as dynamic models, </w:t>
      </w:r>
      <w:r w:rsidR="00A83627" w:rsidRPr="005B4D89">
        <w:t>can play a significant role in comparing alternatives, selecting the optimum reservoir management plan, and assessing the success of the project as it is being implemented and operated</w:t>
      </w:r>
      <w:r w:rsidR="00355905" w:rsidRPr="005B4D89">
        <w:t>.</w:t>
      </w:r>
      <w:r w:rsidR="00484E22" w:rsidRPr="005B4D89">
        <w:t xml:space="preserve"> </w:t>
      </w:r>
      <w:r w:rsidR="006B347D">
        <w:t>A modern f</w:t>
      </w:r>
      <w:r w:rsidR="00B92D4A" w:rsidRPr="005B4D89">
        <w:t xml:space="preserve">low modeling </w:t>
      </w:r>
      <w:r w:rsidR="006B347D">
        <w:t>workflow</w:t>
      </w:r>
      <w:r w:rsidR="00B92D4A" w:rsidRPr="005B4D89">
        <w:t xml:space="preserve"> for </w:t>
      </w:r>
      <w:r w:rsidR="00DE4767" w:rsidRPr="005B4D89">
        <w:t xml:space="preserve">green fields </w:t>
      </w:r>
      <w:r w:rsidR="006B347D">
        <w:t>is d</w:t>
      </w:r>
      <w:r w:rsidR="00B92D4A" w:rsidRPr="005B4D89">
        <w:t>escribed below</w:t>
      </w:r>
      <w:r w:rsidR="006B347D">
        <w:t xml:space="preserve"> for an oil field</w:t>
      </w:r>
      <w:r w:rsidR="00B92D4A" w:rsidRPr="005B4D89">
        <w:t>.</w:t>
      </w:r>
      <w:r w:rsidR="006B347D">
        <w:t xml:space="preserve"> The workflow can be extended to reservoir assets ranging from gas fields to geothermal reservoirs.</w:t>
      </w:r>
      <w:r w:rsidR="00FC5009" w:rsidRPr="005B4D89">
        <w:t xml:space="preserve"> </w:t>
      </w:r>
      <w:r w:rsidR="006B347D">
        <w:t xml:space="preserve">More details on green fields and workflows for brown fields are presented in </w:t>
      </w:r>
      <w:proofErr w:type="spellStart"/>
      <w:r w:rsidR="006B347D">
        <w:t>Fanchi</w:t>
      </w:r>
      <w:proofErr w:type="spellEnd"/>
      <w:r w:rsidR="006B347D">
        <w:t xml:space="preserve"> [</w:t>
      </w:r>
      <w:r w:rsidR="00827D98" w:rsidRPr="005B4D89">
        <w:rPr>
          <w:b/>
        </w:rPr>
        <w:t>Integrated Reservoir Asset Management</w:t>
      </w:r>
      <w:r w:rsidR="00827D98" w:rsidRPr="005B4D89">
        <w:t xml:space="preserve">, </w:t>
      </w:r>
      <w:r w:rsidR="00827D98">
        <w:t>Elsevier-Gulf Professional Publishing, Burlington, Massachusetts,</w:t>
      </w:r>
      <w:r w:rsidR="00827D98" w:rsidRPr="005B4D89">
        <w:t xml:space="preserve"> 2010</w:t>
      </w:r>
      <w:r w:rsidR="006B347D">
        <w:t>].</w:t>
      </w:r>
    </w:p>
    <w:p w:rsidR="0076491A" w:rsidRPr="005B4D89" w:rsidRDefault="0076491A" w:rsidP="00F4216B">
      <w:pPr>
        <w:spacing w:line="276" w:lineRule="auto"/>
        <w:jc w:val="both"/>
      </w:pPr>
    </w:p>
    <w:p w:rsidR="0076491A" w:rsidRPr="005B4D89" w:rsidRDefault="0076491A" w:rsidP="00416B97">
      <w:pPr>
        <w:spacing w:line="276" w:lineRule="auto"/>
        <w:jc w:val="both"/>
        <w:outlineLvl w:val="0"/>
      </w:pPr>
      <w:r w:rsidRPr="005B4D89">
        <w:rPr>
          <w:b/>
          <w:bCs/>
        </w:rPr>
        <w:t xml:space="preserve">Green Field </w:t>
      </w:r>
      <w:r w:rsidR="000544C6">
        <w:rPr>
          <w:b/>
          <w:bCs/>
        </w:rPr>
        <w:t xml:space="preserve">Flow </w:t>
      </w:r>
      <w:r w:rsidRPr="005B4D89">
        <w:rPr>
          <w:b/>
          <w:bCs/>
        </w:rPr>
        <w:t>Modeling</w:t>
      </w:r>
    </w:p>
    <w:p w:rsidR="0076491A" w:rsidRPr="005B4D89" w:rsidRDefault="0076491A" w:rsidP="00F4216B">
      <w:pPr>
        <w:spacing w:line="276" w:lineRule="auto"/>
        <w:jc w:val="both"/>
      </w:pPr>
    </w:p>
    <w:p w:rsidR="00F95781" w:rsidRPr="005B4D89" w:rsidRDefault="00B92D4A" w:rsidP="00F4216B">
      <w:pPr>
        <w:spacing w:line="276" w:lineRule="auto"/>
        <w:ind w:firstLine="720"/>
        <w:jc w:val="both"/>
      </w:pPr>
      <w:r w:rsidRPr="005B4D89">
        <w:t>Green fields include discovered, undeveloped fields, and fields that have been discovered and delineated but are undeveloped.</w:t>
      </w:r>
      <w:r w:rsidR="000B30A3" w:rsidRPr="005B4D89">
        <w:t xml:space="preserve"> Well test information may be available, but green fields have little or no production information to constrain the selection of reservoir realizations or calibrate uncertain model parameters. In this case, it is valuable to have a workflow that can quantify uncertainty.</w:t>
      </w:r>
      <w:r w:rsidR="00943AD0" w:rsidRPr="005B4D89">
        <w:t xml:space="preserve"> </w:t>
      </w:r>
      <w:r w:rsidR="00F95781" w:rsidRPr="005B4D89">
        <w:t xml:space="preserve">The workflow in </w:t>
      </w:r>
      <w:r w:rsidR="004603FD" w:rsidRPr="005B4D89">
        <w:t>Table 1</w:t>
      </w:r>
      <w:r w:rsidR="00F95781" w:rsidRPr="005B4D89">
        <w:t xml:space="preserve"> provides a p</w:t>
      </w:r>
      <w:r w:rsidR="00462D64" w:rsidRPr="005B4D89">
        <w:t xml:space="preserve">robabilistic </w:t>
      </w:r>
      <w:r w:rsidR="00F95781" w:rsidRPr="005B4D89">
        <w:t>forecast that is</w:t>
      </w:r>
      <w:r w:rsidR="00462D64" w:rsidRPr="005B4D89">
        <w:t xml:space="preserve"> </w:t>
      </w:r>
      <w:r w:rsidR="00F95781" w:rsidRPr="005B4D89">
        <w:t>useful for green fields</w:t>
      </w:r>
      <w:r w:rsidR="00462D64" w:rsidRPr="005B4D89">
        <w:t xml:space="preserve">. </w:t>
      </w:r>
    </w:p>
    <w:p w:rsidR="004B7C34" w:rsidRPr="005B4D89" w:rsidRDefault="004B7C34" w:rsidP="00F4216B">
      <w:pPr>
        <w:spacing w:line="276" w:lineRule="auto"/>
        <w:jc w:val="both"/>
      </w:pPr>
    </w:p>
    <w:tbl>
      <w:tblPr>
        <w:tblStyle w:val="Tabellengitternetz"/>
        <w:tblW w:w="0" w:type="auto"/>
        <w:jc w:val="center"/>
        <w:tblLook w:val="04A0"/>
      </w:tblPr>
      <w:tblGrid>
        <w:gridCol w:w="670"/>
        <w:gridCol w:w="5408"/>
      </w:tblGrid>
      <w:tr w:rsidR="00F95781" w:rsidRPr="005B4D89" w:rsidTr="00B14FA8">
        <w:trPr>
          <w:tblHeader/>
          <w:jc w:val="center"/>
        </w:trPr>
        <w:tc>
          <w:tcPr>
            <w:tcW w:w="0" w:type="auto"/>
            <w:gridSpan w:val="2"/>
            <w:tcBorders>
              <w:top w:val="nil"/>
              <w:left w:val="nil"/>
              <w:right w:val="nil"/>
            </w:tcBorders>
          </w:tcPr>
          <w:p w:rsidR="00F95781" w:rsidRPr="005B4D89" w:rsidRDefault="004603FD" w:rsidP="00F4216B">
            <w:pPr>
              <w:spacing w:line="276" w:lineRule="auto"/>
              <w:jc w:val="center"/>
              <w:rPr>
                <w:b/>
              </w:rPr>
            </w:pPr>
            <w:r w:rsidRPr="005B4D89">
              <w:rPr>
                <w:b/>
              </w:rPr>
              <w:t>Table 1</w:t>
            </w:r>
          </w:p>
          <w:p w:rsidR="00F95781" w:rsidRPr="005B4D89" w:rsidRDefault="00F95781" w:rsidP="00F4216B">
            <w:pPr>
              <w:spacing w:line="276" w:lineRule="auto"/>
              <w:jc w:val="center"/>
              <w:rPr>
                <w:b/>
              </w:rPr>
            </w:pPr>
            <w:r w:rsidRPr="005B4D89">
              <w:rPr>
                <w:b/>
              </w:rPr>
              <w:t>Green Field Flow Modeling Workflow</w:t>
            </w:r>
          </w:p>
        </w:tc>
      </w:tr>
      <w:tr w:rsidR="00F95781" w:rsidRPr="005B4D89" w:rsidTr="00B14FA8">
        <w:trPr>
          <w:tblHeader/>
          <w:jc w:val="center"/>
        </w:trPr>
        <w:tc>
          <w:tcPr>
            <w:tcW w:w="0" w:type="auto"/>
          </w:tcPr>
          <w:p w:rsidR="00F95781" w:rsidRPr="005B4D89" w:rsidRDefault="00F95781" w:rsidP="00F4216B">
            <w:pPr>
              <w:autoSpaceDE w:val="0"/>
              <w:autoSpaceDN w:val="0"/>
              <w:adjustRightInd w:val="0"/>
              <w:spacing w:line="276" w:lineRule="auto"/>
              <w:jc w:val="center"/>
              <w:rPr>
                <w:b/>
                <w:color w:val="000000"/>
                <w:kern w:val="24"/>
              </w:rPr>
            </w:pPr>
            <w:r w:rsidRPr="005B4D89">
              <w:rPr>
                <w:b/>
                <w:color w:val="000000"/>
                <w:kern w:val="24"/>
              </w:rPr>
              <w:t>Step</w:t>
            </w:r>
          </w:p>
        </w:tc>
        <w:tc>
          <w:tcPr>
            <w:tcW w:w="0" w:type="auto"/>
          </w:tcPr>
          <w:p w:rsidR="00F95781" w:rsidRPr="005B4D89" w:rsidRDefault="00F95781" w:rsidP="00F4216B">
            <w:pPr>
              <w:autoSpaceDE w:val="0"/>
              <w:autoSpaceDN w:val="0"/>
              <w:adjustRightInd w:val="0"/>
              <w:spacing w:line="276" w:lineRule="auto"/>
              <w:jc w:val="center"/>
              <w:rPr>
                <w:b/>
                <w:color w:val="000000"/>
                <w:kern w:val="24"/>
              </w:rPr>
            </w:pPr>
            <w:r w:rsidRPr="005B4D89">
              <w:rPr>
                <w:b/>
                <w:color w:val="000000"/>
                <w:kern w:val="24"/>
              </w:rPr>
              <w:t>Task</w:t>
            </w:r>
          </w:p>
        </w:tc>
      </w:tr>
      <w:tr w:rsidR="00F95781" w:rsidRPr="005B4D89" w:rsidTr="00B14FA8">
        <w:trPr>
          <w:jc w:val="center"/>
        </w:trPr>
        <w:tc>
          <w:tcPr>
            <w:tcW w:w="0" w:type="auto"/>
          </w:tcPr>
          <w:p w:rsidR="00F95781" w:rsidRPr="005B4D89" w:rsidRDefault="00E34372" w:rsidP="00F4216B">
            <w:pPr>
              <w:autoSpaceDE w:val="0"/>
              <w:autoSpaceDN w:val="0"/>
              <w:adjustRightInd w:val="0"/>
              <w:spacing w:line="276" w:lineRule="auto"/>
              <w:jc w:val="center"/>
              <w:rPr>
                <w:color w:val="000000"/>
                <w:kern w:val="24"/>
              </w:rPr>
            </w:pPr>
            <w:r w:rsidRPr="005B4D89">
              <w:rPr>
                <w:color w:val="000000"/>
                <w:kern w:val="24"/>
              </w:rPr>
              <w:t>G1</w:t>
            </w:r>
          </w:p>
        </w:tc>
        <w:tc>
          <w:tcPr>
            <w:tcW w:w="0" w:type="auto"/>
          </w:tcPr>
          <w:p w:rsidR="00F95781" w:rsidRPr="005B4D89" w:rsidRDefault="00F95781" w:rsidP="00F4216B">
            <w:pPr>
              <w:autoSpaceDE w:val="0"/>
              <w:autoSpaceDN w:val="0"/>
              <w:adjustRightInd w:val="0"/>
              <w:spacing w:line="276" w:lineRule="auto"/>
              <w:jc w:val="both"/>
              <w:rPr>
                <w:color w:val="000000"/>
                <w:kern w:val="24"/>
              </w:rPr>
            </w:pPr>
            <w:r w:rsidRPr="005B4D89">
              <w:rPr>
                <w:color w:val="000000"/>
                <w:kern w:val="24"/>
              </w:rPr>
              <w:t>Gather Data</w:t>
            </w:r>
          </w:p>
        </w:tc>
      </w:tr>
      <w:tr w:rsidR="003F6D2F" w:rsidRPr="005B4D89" w:rsidTr="00B14FA8">
        <w:trPr>
          <w:jc w:val="center"/>
        </w:trPr>
        <w:tc>
          <w:tcPr>
            <w:tcW w:w="0" w:type="auto"/>
          </w:tcPr>
          <w:p w:rsidR="003F6D2F" w:rsidRPr="005B4D89" w:rsidRDefault="003F6D2F" w:rsidP="00F4216B">
            <w:pPr>
              <w:autoSpaceDE w:val="0"/>
              <w:autoSpaceDN w:val="0"/>
              <w:adjustRightInd w:val="0"/>
              <w:spacing w:line="276" w:lineRule="auto"/>
              <w:jc w:val="center"/>
              <w:rPr>
                <w:color w:val="000000"/>
                <w:kern w:val="24"/>
              </w:rPr>
            </w:pPr>
            <w:r w:rsidRPr="005B4D89">
              <w:rPr>
                <w:color w:val="000000"/>
                <w:kern w:val="24"/>
              </w:rPr>
              <w:t>G2</w:t>
            </w:r>
          </w:p>
        </w:tc>
        <w:tc>
          <w:tcPr>
            <w:tcW w:w="0" w:type="auto"/>
          </w:tcPr>
          <w:p w:rsidR="003F6D2F" w:rsidRPr="005B4D89" w:rsidRDefault="003F6D2F" w:rsidP="00F4216B">
            <w:pPr>
              <w:autoSpaceDE w:val="0"/>
              <w:autoSpaceDN w:val="0"/>
              <w:adjustRightInd w:val="0"/>
              <w:spacing w:line="276" w:lineRule="auto"/>
              <w:jc w:val="both"/>
              <w:rPr>
                <w:color w:val="000000"/>
                <w:kern w:val="24"/>
              </w:rPr>
            </w:pPr>
            <w:r w:rsidRPr="005B4D89">
              <w:rPr>
                <w:color w:val="000000"/>
                <w:kern w:val="24"/>
              </w:rPr>
              <w:t>Identify Key Parameters and Associated Uncertainties</w:t>
            </w:r>
          </w:p>
        </w:tc>
      </w:tr>
      <w:tr w:rsidR="003F6D2F" w:rsidRPr="005B4D89" w:rsidTr="00B14FA8">
        <w:trPr>
          <w:jc w:val="center"/>
        </w:trPr>
        <w:tc>
          <w:tcPr>
            <w:tcW w:w="0" w:type="auto"/>
          </w:tcPr>
          <w:p w:rsidR="003F6D2F" w:rsidRPr="005B4D89" w:rsidRDefault="003F6D2F" w:rsidP="00F4216B">
            <w:pPr>
              <w:autoSpaceDE w:val="0"/>
              <w:autoSpaceDN w:val="0"/>
              <w:adjustRightInd w:val="0"/>
              <w:spacing w:line="276" w:lineRule="auto"/>
              <w:jc w:val="center"/>
              <w:rPr>
                <w:color w:val="000000"/>
                <w:kern w:val="24"/>
              </w:rPr>
            </w:pPr>
            <w:r w:rsidRPr="005B4D89">
              <w:rPr>
                <w:color w:val="000000"/>
                <w:kern w:val="24"/>
              </w:rPr>
              <w:t>G3</w:t>
            </w:r>
          </w:p>
        </w:tc>
        <w:tc>
          <w:tcPr>
            <w:tcW w:w="0" w:type="auto"/>
          </w:tcPr>
          <w:p w:rsidR="003F6D2F" w:rsidRPr="005B4D89" w:rsidRDefault="003F6D2F" w:rsidP="00F4216B">
            <w:pPr>
              <w:autoSpaceDE w:val="0"/>
              <w:autoSpaceDN w:val="0"/>
              <w:adjustRightInd w:val="0"/>
              <w:spacing w:line="276" w:lineRule="auto"/>
              <w:jc w:val="both"/>
              <w:rPr>
                <w:color w:val="000000"/>
                <w:kern w:val="24"/>
              </w:rPr>
            </w:pPr>
            <w:r w:rsidRPr="005B4D89">
              <w:rPr>
                <w:color w:val="000000"/>
                <w:kern w:val="24"/>
              </w:rPr>
              <w:t>Generate Forecast of Field Performance Results</w:t>
            </w:r>
          </w:p>
        </w:tc>
      </w:tr>
      <w:tr w:rsidR="003F6D2F" w:rsidRPr="005B4D89" w:rsidTr="00B14FA8">
        <w:trPr>
          <w:jc w:val="center"/>
        </w:trPr>
        <w:tc>
          <w:tcPr>
            <w:tcW w:w="0" w:type="auto"/>
          </w:tcPr>
          <w:p w:rsidR="003F6D2F" w:rsidRPr="005B4D89" w:rsidRDefault="003F6D2F" w:rsidP="00F4216B">
            <w:pPr>
              <w:autoSpaceDE w:val="0"/>
              <w:autoSpaceDN w:val="0"/>
              <w:adjustRightInd w:val="0"/>
              <w:spacing w:line="276" w:lineRule="auto"/>
              <w:jc w:val="center"/>
              <w:rPr>
                <w:color w:val="000000"/>
                <w:kern w:val="24"/>
              </w:rPr>
            </w:pPr>
            <w:r w:rsidRPr="005B4D89">
              <w:rPr>
                <w:color w:val="000000"/>
                <w:kern w:val="24"/>
              </w:rPr>
              <w:lastRenderedPageBreak/>
              <w:t>G4</w:t>
            </w:r>
          </w:p>
        </w:tc>
        <w:tc>
          <w:tcPr>
            <w:tcW w:w="0" w:type="auto"/>
          </w:tcPr>
          <w:p w:rsidR="003F6D2F" w:rsidRPr="005B4D89" w:rsidRDefault="003F6D2F" w:rsidP="00F4216B">
            <w:pPr>
              <w:autoSpaceDE w:val="0"/>
              <w:autoSpaceDN w:val="0"/>
              <w:adjustRightInd w:val="0"/>
              <w:spacing w:line="276" w:lineRule="auto"/>
              <w:jc w:val="both"/>
              <w:rPr>
                <w:color w:val="000000"/>
                <w:kern w:val="24"/>
              </w:rPr>
            </w:pPr>
            <w:r w:rsidRPr="005B4D89">
              <w:rPr>
                <w:color w:val="000000"/>
                <w:kern w:val="24"/>
              </w:rPr>
              <w:t>Generate Distribution of Field Performance Results</w:t>
            </w:r>
          </w:p>
        </w:tc>
      </w:tr>
    </w:tbl>
    <w:p w:rsidR="00462D64" w:rsidRPr="005B4D89" w:rsidRDefault="00462D64" w:rsidP="00F4216B">
      <w:pPr>
        <w:spacing w:line="276" w:lineRule="auto"/>
        <w:jc w:val="both"/>
      </w:pPr>
    </w:p>
    <w:p w:rsidR="00FA5EE7" w:rsidRPr="005B4D89" w:rsidRDefault="00FA5EE7" w:rsidP="00F4216B">
      <w:pPr>
        <w:autoSpaceDE w:val="0"/>
        <w:autoSpaceDN w:val="0"/>
        <w:adjustRightInd w:val="0"/>
        <w:spacing w:line="276" w:lineRule="auto"/>
        <w:ind w:firstLine="720"/>
        <w:jc w:val="both"/>
      </w:pPr>
      <w:r w:rsidRPr="005B4D89">
        <w:t xml:space="preserve">Risk analysis generates probabilities associated with changes in model input parameters. </w:t>
      </w:r>
      <w:r w:rsidR="00D57277" w:rsidRPr="005B4D89">
        <w:t xml:space="preserve">Allowed </w:t>
      </w:r>
      <w:r w:rsidRPr="005B4D89">
        <w:t>parameter changes must be con</w:t>
      </w:r>
      <w:r w:rsidR="00B4115F" w:rsidRPr="005B4D89">
        <w:t>s</w:t>
      </w:r>
      <w:r w:rsidRPr="005B4D89">
        <w:t>t</w:t>
      </w:r>
      <w:r w:rsidR="00B4115F" w:rsidRPr="005B4D89">
        <w:t>r</w:t>
      </w:r>
      <w:r w:rsidRPr="005B4D89">
        <w:t xml:space="preserve">ained within ranges that are typically determined by the range of available data, information from analogous fields, and the experience of the </w:t>
      </w:r>
      <w:r w:rsidR="00D57277" w:rsidRPr="005B4D89">
        <w:t>asset management</w:t>
      </w:r>
      <w:r w:rsidRPr="005B4D89">
        <w:t xml:space="preserve"> team. </w:t>
      </w:r>
      <w:r w:rsidR="006331C0" w:rsidRPr="005B4D89">
        <w:t>P</w:t>
      </w:r>
      <w:r w:rsidR="00B4115F" w:rsidRPr="005B4D89">
        <w:t xml:space="preserve">arameters </w:t>
      </w:r>
      <w:r w:rsidR="006331C0" w:rsidRPr="005B4D89">
        <w:t xml:space="preserve">that </w:t>
      </w:r>
      <w:r w:rsidR="00B4115F" w:rsidRPr="005B4D89">
        <w:t>may</w:t>
      </w:r>
      <w:r w:rsidR="006331C0" w:rsidRPr="005B4D89">
        <w:t xml:space="preserve"> be used in the study</w:t>
      </w:r>
      <w:r w:rsidR="00B4115F" w:rsidRPr="005B4D89">
        <w:t xml:space="preserve"> include any model input information, such as reservoir characterization parameters, geologic realizations or static models, rock-fluid interaction parameters, well properties and well locations.</w:t>
      </w:r>
    </w:p>
    <w:p w:rsidR="00B263F2" w:rsidRPr="005B4D89" w:rsidRDefault="00543CC1" w:rsidP="00F4216B">
      <w:pPr>
        <w:autoSpaceDE w:val="0"/>
        <w:autoSpaceDN w:val="0"/>
        <w:adjustRightInd w:val="0"/>
        <w:spacing w:line="276" w:lineRule="auto"/>
        <w:ind w:firstLine="720"/>
        <w:jc w:val="both"/>
      </w:pPr>
      <w:r w:rsidRPr="005B4D89">
        <w:t>As an illustration,</w:t>
      </w:r>
      <w:r w:rsidR="008A267F">
        <w:t xml:space="preserve"> </w:t>
      </w:r>
      <w:r w:rsidRPr="005B4D89">
        <w:t xml:space="preserve">consider </w:t>
      </w:r>
      <w:r w:rsidR="00C12E90">
        <w:t>an example reservoir called the</w:t>
      </w:r>
      <w:r w:rsidRPr="005B4D89">
        <w:t xml:space="preserve"> Valley Fill reservoir prior to the acquisition of historic</w:t>
      </w:r>
      <w:r w:rsidR="00AA7E18" w:rsidRPr="005B4D89">
        <w:t>al production data. In this situation</w:t>
      </w:r>
      <w:r w:rsidRPr="005B4D89">
        <w:t xml:space="preserve">, the Valley Fill reservoir is a green field. To be specific, we identify three key </w:t>
      </w:r>
      <w:r w:rsidR="00444E84" w:rsidRPr="005B4D89">
        <w:t>parameter</w:t>
      </w:r>
      <w:r w:rsidRPr="005B4D89">
        <w:t>s:</w:t>
      </w:r>
      <w:r w:rsidR="00B263F2" w:rsidRPr="005B4D89">
        <w:t xml:space="preserve"> porosity, permeability, and </w:t>
      </w:r>
      <w:r w:rsidR="00FB3D8E" w:rsidRPr="005B4D89">
        <w:t xml:space="preserve">pressure at the </w:t>
      </w:r>
      <w:r w:rsidR="00B263F2" w:rsidRPr="005B4D89">
        <w:t>water-oil contact (</w:t>
      </w:r>
      <w:r w:rsidR="00FB3D8E" w:rsidRPr="005B4D89">
        <w:t>P</w:t>
      </w:r>
      <w:r w:rsidR="00B263F2" w:rsidRPr="005B4D89">
        <w:t>WOC).</w:t>
      </w:r>
      <w:r w:rsidR="00310C91" w:rsidRPr="005B4D89">
        <w:t xml:space="preserve"> </w:t>
      </w:r>
    </w:p>
    <w:p w:rsidR="00C12E90" w:rsidRDefault="00CF3298" w:rsidP="00F4216B">
      <w:pPr>
        <w:autoSpaceDE w:val="0"/>
        <w:autoSpaceDN w:val="0"/>
        <w:adjustRightInd w:val="0"/>
        <w:spacing w:line="276" w:lineRule="auto"/>
        <w:ind w:firstLine="720"/>
        <w:jc w:val="both"/>
        <w:rPr>
          <w:color w:val="000000"/>
          <w:kern w:val="24"/>
        </w:rPr>
      </w:pPr>
      <w:r w:rsidRPr="005B4D89">
        <w:t xml:space="preserve">Every reservoir flow model run that uses a complete and unique set of model input parameters constitutes a trial. A set of trials is used to generate probability distributions. </w:t>
      </w:r>
      <w:r w:rsidR="004F31D0" w:rsidRPr="005B4D89">
        <w:t xml:space="preserve">The number of trials depends on the number of </w:t>
      </w:r>
      <w:r w:rsidR="00444E84" w:rsidRPr="005B4D89">
        <w:t>parameter</w:t>
      </w:r>
      <w:r w:rsidR="004F31D0" w:rsidRPr="005B4D89">
        <w:t>s being considered and the desired level of analysis.</w:t>
      </w:r>
      <w:r w:rsidRPr="005B4D89">
        <w:t xml:space="preserve"> </w:t>
      </w:r>
      <w:r w:rsidR="00F95781" w:rsidRPr="005B4D89">
        <w:rPr>
          <w:color w:val="000000"/>
          <w:kern w:val="24"/>
        </w:rPr>
        <w:t>Design of Experiments (</w:t>
      </w:r>
      <w:proofErr w:type="spellStart"/>
      <w:r w:rsidR="00F95781" w:rsidRPr="005B4D89">
        <w:rPr>
          <w:color w:val="000000"/>
          <w:kern w:val="24"/>
        </w:rPr>
        <w:t>DoEx</w:t>
      </w:r>
      <w:proofErr w:type="spellEnd"/>
      <w:r w:rsidR="00F95781" w:rsidRPr="005B4D89">
        <w:rPr>
          <w:color w:val="000000"/>
          <w:kern w:val="24"/>
        </w:rPr>
        <w:t>)</w:t>
      </w:r>
      <w:r w:rsidRPr="005B4D89">
        <w:rPr>
          <w:color w:val="000000"/>
          <w:kern w:val="24"/>
        </w:rPr>
        <w:t xml:space="preserve"> is a methodology for </w:t>
      </w:r>
      <w:r w:rsidR="0074511F" w:rsidRPr="005B4D89">
        <w:rPr>
          <w:color w:val="000000"/>
          <w:kern w:val="24"/>
        </w:rPr>
        <w:t xml:space="preserve">simultaneously and </w:t>
      </w:r>
      <w:r w:rsidRPr="005B4D89">
        <w:rPr>
          <w:color w:val="000000"/>
          <w:kern w:val="24"/>
        </w:rPr>
        <w:t>systematically vary</w:t>
      </w:r>
      <w:r w:rsidR="0074511F" w:rsidRPr="005B4D89">
        <w:rPr>
          <w:color w:val="000000"/>
          <w:kern w:val="24"/>
        </w:rPr>
        <w:t>ing a set of uncertain factor</w:t>
      </w:r>
      <w:r w:rsidRPr="005B4D89">
        <w:rPr>
          <w:color w:val="000000"/>
          <w:kern w:val="24"/>
        </w:rPr>
        <w:t>s.</w:t>
      </w:r>
      <w:r w:rsidR="0074511F" w:rsidRPr="005B4D89">
        <w:rPr>
          <w:color w:val="000000"/>
          <w:kern w:val="24"/>
        </w:rPr>
        <w:t xml:space="preserve"> </w:t>
      </w:r>
      <w:r w:rsidR="002C78CF" w:rsidRPr="005B4D89">
        <w:rPr>
          <w:color w:val="000000"/>
          <w:kern w:val="24"/>
        </w:rPr>
        <w:t>The number of trials determined by experimental design depends on the number of factors and the number of values, or levels, used.</w:t>
      </w:r>
      <w:r w:rsidR="00B8535F" w:rsidRPr="005B4D89">
        <w:rPr>
          <w:color w:val="000000"/>
          <w:kern w:val="24"/>
        </w:rPr>
        <w:t xml:space="preserve"> A full factorial design</w:t>
      </w:r>
      <w:r w:rsidR="00B472D1" w:rsidRPr="005B4D89">
        <w:rPr>
          <w:color w:val="000000"/>
          <w:kern w:val="24"/>
        </w:rPr>
        <w:t xml:space="preserve"> uses all combinations of levels for all factors.</w:t>
      </w:r>
    </w:p>
    <w:p w:rsidR="0070413A" w:rsidRPr="005B4D89" w:rsidRDefault="005F3E21" w:rsidP="00F4216B">
      <w:pPr>
        <w:autoSpaceDE w:val="0"/>
        <w:autoSpaceDN w:val="0"/>
        <w:adjustRightInd w:val="0"/>
        <w:spacing w:line="276" w:lineRule="auto"/>
        <w:ind w:firstLine="720"/>
        <w:jc w:val="both"/>
        <w:rPr>
          <w:color w:val="000000"/>
          <w:kern w:val="24"/>
        </w:rPr>
      </w:pPr>
      <w:r w:rsidRPr="005B4D89">
        <w:rPr>
          <w:color w:val="000000"/>
          <w:kern w:val="24"/>
        </w:rPr>
        <w:t>In our Valley Fill illustration, we design a set of trials that use</w:t>
      </w:r>
      <w:r w:rsidR="002C78CF" w:rsidRPr="005B4D89">
        <w:rPr>
          <w:color w:val="000000"/>
          <w:kern w:val="24"/>
        </w:rPr>
        <w:t>s</w:t>
      </w:r>
      <w:r w:rsidR="00A43D05">
        <w:rPr>
          <w:color w:val="000000"/>
          <w:kern w:val="24"/>
        </w:rPr>
        <w:t xml:space="preserve"> </w:t>
      </w:r>
      <w:r w:rsidRPr="005B4D89">
        <w:rPr>
          <w:color w:val="000000"/>
          <w:kern w:val="24"/>
        </w:rPr>
        <w:t xml:space="preserve">three </w:t>
      </w:r>
      <w:r w:rsidR="00444E84" w:rsidRPr="005B4D89">
        <w:rPr>
          <w:color w:val="000000"/>
          <w:kern w:val="24"/>
        </w:rPr>
        <w:t>parameter</w:t>
      </w:r>
      <w:r w:rsidRPr="005B4D89">
        <w:rPr>
          <w:color w:val="000000"/>
          <w:kern w:val="24"/>
        </w:rPr>
        <w:t xml:space="preserve">s at </w:t>
      </w:r>
      <w:r w:rsidR="00C12E90" w:rsidRPr="005B4D89">
        <w:rPr>
          <w:color w:val="000000"/>
          <w:kern w:val="24"/>
        </w:rPr>
        <w:t>three different levels (minimum, most likely, maximum)</w:t>
      </w:r>
      <w:r w:rsidRPr="005B4D89">
        <w:rPr>
          <w:color w:val="000000"/>
          <w:kern w:val="24"/>
        </w:rPr>
        <w:t>. Th</w:t>
      </w:r>
      <w:r w:rsidR="002C78CF" w:rsidRPr="005B4D89">
        <w:rPr>
          <w:color w:val="000000"/>
          <w:kern w:val="24"/>
        </w:rPr>
        <w:t xml:space="preserve">e number of trial runs is </w:t>
      </w:r>
      <m:oMath>
        <m:sSup>
          <m:sSupPr>
            <m:ctrlPr>
              <w:rPr>
                <w:rFonts w:ascii="Cambria Math" w:hAnsi="Cambria Math"/>
                <w:i/>
                <w:color w:val="000000"/>
                <w:kern w:val="24"/>
              </w:rPr>
            </m:ctrlPr>
          </m:sSupPr>
          <m:e>
            <m:r>
              <w:rPr>
                <w:rFonts w:ascii="Cambria Math"/>
                <w:color w:val="000000"/>
                <w:kern w:val="24"/>
              </w:rPr>
              <m:t>3</m:t>
            </m:r>
          </m:e>
          <m:sup>
            <m:r>
              <w:rPr>
                <w:rFonts w:ascii="Cambria Math"/>
                <w:color w:val="000000"/>
                <w:kern w:val="24"/>
              </w:rPr>
              <m:t>3</m:t>
            </m:r>
          </m:sup>
        </m:sSup>
        <m:r>
          <w:rPr>
            <w:rFonts w:ascii="Cambria Math"/>
            <w:color w:val="000000"/>
            <w:kern w:val="24"/>
          </w:rPr>
          <m:t>=27</m:t>
        </m:r>
      </m:oMath>
      <w:r w:rsidRPr="005B4D89">
        <w:rPr>
          <w:color w:val="000000"/>
          <w:kern w:val="24"/>
        </w:rPr>
        <w:t xml:space="preserve"> trial runs</w:t>
      </w:r>
      <w:r w:rsidR="00B472D1" w:rsidRPr="005B4D89">
        <w:rPr>
          <w:color w:val="000000"/>
          <w:kern w:val="24"/>
        </w:rPr>
        <w:t>.</w:t>
      </w:r>
      <w:r w:rsidR="0070413A">
        <w:rPr>
          <w:color w:val="000000"/>
          <w:kern w:val="24"/>
        </w:rPr>
        <w:t xml:space="preserve"> </w:t>
      </w:r>
      <w:r w:rsidR="008B49CF" w:rsidRPr="005B4D89">
        <w:rPr>
          <w:color w:val="000000"/>
          <w:kern w:val="24"/>
        </w:rPr>
        <w:t xml:space="preserve">The Valley Fill design is a </w:t>
      </w:r>
      <w:r w:rsidR="00BB3309" w:rsidRPr="005B4D89">
        <w:rPr>
          <w:color w:val="000000"/>
          <w:kern w:val="24"/>
        </w:rPr>
        <w:t>3</w:t>
      </w:r>
      <w:r w:rsidR="008B49CF" w:rsidRPr="005B4D89">
        <w:rPr>
          <w:color w:val="000000"/>
          <w:kern w:val="24"/>
        </w:rPr>
        <w:t xml:space="preserve">-level full factorial design. </w:t>
      </w:r>
      <w:r w:rsidR="00A457E8" w:rsidRPr="005B4D89">
        <w:rPr>
          <w:color w:val="000000"/>
          <w:kern w:val="24"/>
        </w:rPr>
        <w:t>Figure 1</w:t>
      </w:r>
      <w:r w:rsidR="00417543" w:rsidRPr="005B4D89">
        <w:rPr>
          <w:color w:val="000000"/>
          <w:kern w:val="24"/>
        </w:rPr>
        <w:t xml:space="preserve"> shows</w:t>
      </w:r>
      <w:r w:rsidR="00BB3309" w:rsidRPr="005B4D89">
        <w:rPr>
          <w:color w:val="000000"/>
          <w:kern w:val="24"/>
        </w:rPr>
        <w:t xml:space="preserve"> allowed cases for a 2-level (</w:t>
      </w:r>
      <m:oMath>
        <m:sSup>
          <m:sSupPr>
            <m:ctrlPr>
              <w:rPr>
                <w:rFonts w:ascii="Cambria Math" w:hAnsi="Cambria Math"/>
                <w:i/>
                <w:color w:val="000000"/>
                <w:kern w:val="24"/>
              </w:rPr>
            </m:ctrlPr>
          </m:sSupPr>
          <m:e>
            <m:r>
              <w:rPr>
                <w:rFonts w:ascii="Cambria Math"/>
                <w:color w:val="000000"/>
                <w:kern w:val="24"/>
              </w:rPr>
              <m:t>2</m:t>
            </m:r>
          </m:e>
          <m:sup>
            <m:r>
              <w:rPr>
                <w:rFonts w:ascii="Cambria Math"/>
                <w:color w:val="000000"/>
                <w:kern w:val="24"/>
              </w:rPr>
              <m:t>3</m:t>
            </m:r>
          </m:sup>
        </m:sSup>
        <m:r>
          <w:rPr>
            <w:rFonts w:ascii="Cambria Math"/>
            <w:color w:val="000000"/>
            <w:kern w:val="24"/>
          </w:rPr>
          <m:t>=8</m:t>
        </m:r>
      </m:oMath>
      <w:r w:rsidR="00BB3309" w:rsidRPr="005B4D89">
        <w:rPr>
          <w:color w:val="000000"/>
          <w:kern w:val="24"/>
        </w:rPr>
        <w:t>) and a 3-level (</w:t>
      </w:r>
      <m:oMath>
        <m:sSup>
          <m:sSupPr>
            <m:ctrlPr>
              <w:rPr>
                <w:rFonts w:ascii="Cambria Math" w:hAnsi="Cambria Math"/>
                <w:i/>
                <w:color w:val="000000"/>
                <w:kern w:val="24"/>
              </w:rPr>
            </m:ctrlPr>
          </m:sSupPr>
          <m:e>
            <m:r>
              <w:rPr>
                <w:rFonts w:ascii="Cambria Math"/>
                <w:color w:val="000000"/>
                <w:kern w:val="24"/>
              </w:rPr>
              <m:t>3</m:t>
            </m:r>
          </m:e>
          <m:sup>
            <m:r>
              <w:rPr>
                <w:rFonts w:ascii="Cambria Math"/>
                <w:color w:val="000000"/>
                <w:kern w:val="24"/>
              </w:rPr>
              <m:t>3</m:t>
            </m:r>
          </m:sup>
        </m:sSup>
        <m:r>
          <w:rPr>
            <w:rFonts w:ascii="Cambria Math"/>
            <w:color w:val="000000"/>
            <w:kern w:val="24"/>
          </w:rPr>
          <m:t>=27</m:t>
        </m:r>
      </m:oMath>
      <w:r w:rsidR="00BB3309" w:rsidRPr="005B4D89">
        <w:rPr>
          <w:color w:val="000000"/>
          <w:kern w:val="24"/>
        </w:rPr>
        <w:t>) factorial design.</w:t>
      </w:r>
      <w:r w:rsidR="00417543" w:rsidRPr="005B4D89">
        <w:rPr>
          <w:color w:val="000000"/>
          <w:kern w:val="24"/>
        </w:rPr>
        <w:t xml:space="preserve"> </w:t>
      </w:r>
      <w:r w:rsidR="00BB3309" w:rsidRPr="005B4D89">
        <w:rPr>
          <w:color w:val="000000"/>
          <w:kern w:val="24"/>
        </w:rPr>
        <w:t>The 2-level design uses minimum and maximum values, while the 3-level design uses minimum, maximum, and most likely values. The 3-level</w:t>
      </w:r>
      <w:r w:rsidR="00417543" w:rsidRPr="005B4D89">
        <w:rPr>
          <w:color w:val="000000"/>
          <w:kern w:val="24"/>
        </w:rPr>
        <w:t xml:space="preserve"> design</w:t>
      </w:r>
      <w:r w:rsidR="00BB3309" w:rsidRPr="005B4D89">
        <w:rPr>
          <w:color w:val="000000"/>
          <w:kern w:val="24"/>
        </w:rPr>
        <w:t xml:space="preserve"> covers more of</w:t>
      </w:r>
      <w:r w:rsidR="00417543" w:rsidRPr="005B4D89">
        <w:rPr>
          <w:color w:val="000000"/>
          <w:kern w:val="24"/>
        </w:rPr>
        <w:t xml:space="preserve"> the </w:t>
      </w:r>
      <w:proofErr w:type="spellStart"/>
      <w:r w:rsidR="00417543" w:rsidRPr="005B4D89">
        <w:rPr>
          <w:color w:val="000000"/>
          <w:kern w:val="24"/>
        </w:rPr>
        <w:t>DoEx</w:t>
      </w:r>
      <w:proofErr w:type="spellEnd"/>
      <w:r w:rsidR="00417543" w:rsidRPr="005B4D89">
        <w:rPr>
          <w:color w:val="000000"/>
          <w:kern w:val="24"/>
        </w:rPr>
        <w:t xml:space="preserve"> parameter space. </w:t>
      </w:r>
      <w:r w:rsidR="00A457E8" w:rsidRPr="005B4D89">
        <w:rPr>
          <w:color w:val="000000"/>
          <w:kern w:val="24"/>
        </w:rPr>
        <w:t>The origi</w:t>
      </w:r>
      <w:r w:rsidR="0023140D" w:rsidRPr="005B4D89">
        <w:rPr>
          <w:color w:val="000000"/>
          <w:kern w:val="24"/>
        </w:rPr>
        <w:t xml:space="preserve">n of the </w:t>
      </w:r>
      <w:proofErr w:type="spellStart"/>
      <w:r w:rsidR="0023140D" w:rsidRPr="005B4D89">
        <w:rPr>
          <w:color w:val="000000"/>
          <w:kern w:val="24"/>
        </w:rPr>
        <w:t>DoEx</w:t>
      </w:r>
      <w:proofErr w:type="spellEnd"/>
      <w:r w:rsidR="0023140D" w:rsidRPr="005B4D89">
        <w:rPr>
          <w:color w:val="000000"/>
          <w:kern w:val="24"/>
        </w:rPr>
        <w:t xml:space="preserve"> parameter </w:t>
      </w:r>
      <w:r w:rsidR="00BB3309" w:rsidRPr="005B4D89">
        <w:rPr>
          <w:color w:val="000000"/>
          <w:kern w:val="24"/>
        </w:rPr>
        <w:t>space in Figure 1 is not used in the 2-level design, but it is used in the 3-level design where it</w:t>
      </w:r>
      <w:r w:rsidR="0023140D" w:rsidRPr="005B4D89">
        <w:rPr>
          <w:color w:val="000000"/>
          <w:kern w:val="24"/>
        </w:rPr>
        <w:t xml:space="preserve"> denotes</w:t>
      </w:r>
      <w:r w:rsidR="00A457E8" w:rsidRPr="005B4D89">
        <w:rPr>
          <w:color w:val="000000"/>
          <w:kern w:val="24"/>
        </w:rPr>
        <w:t xml:space="preserve"> the case</w:t>
      </w:r>
      <w:r w:rsidR="0012508B" w:rsidRPr="005B4D89">
        <w:rPr>
          <w:color w:val="000000"/>
          <w:kern w:val="24"/>
        </w:rPr>
        <w:t xml:space="preserve"> (Case 14) </w:t>
      </w:r>
      <w:r w:rsidR="00A457E8" w:rsidRPr="005B4D89">
        <w:rPr>
          <w:color w:val="000000"/>
          <w:kern w:val="24"/>
        </w:rPr>
        <w:t>that u</w:t>
      </w:r>
      <w:r w:rsidR="0023140D" w:rsidRPr="005B4D89">
        <w:rPr>
          <w:color w:val="000000"/>
          <w:kern w:val="24"/>
        </w:rPr>
        <w:t>ses the most likely value of all</w:t>
      </w:r>
      <w:r w:rsidR="00A457E8" w:rsidRPr="005B4D89">
        <w:rPr>
          <w:color w:val="000000"/>
          <w:kern w:val="24"/>
        </w:rPr>
        <w:t xml:space="preserve"> three parameters. </w:t>
      </w:r>
      <w:r w:rsidR="008B49CF" w:rsidRPr="005B4D89">
        <w:rPr>
          <w:color w:val="000000"/>
          <w:kern w:val="24"/>
        </w:rPr>
        <w:t xml:space="preserve">Other </w:t>
      </w:r>
      <w:proofErr w:type="spellStart"/>
      <w:r w:rsidR="00BB3309" w:rsidRPr="005B4D89">
        <w:rPr>
          <w:color w:val="000000"/>
          <w:kern w:val="24"/>
        </w:rPr>
        <w:t>DoEx</w:t>
      </w:r>
      <w:proofErr w:type="spellEnd"/>
      <w:r w:rsidR="00BB3309" w:rsidRPr="005B4D89">
        <w:rPr>
          <w:color w:val="000000"/>
          <w:kern w:val="24"/>
        </w:rPr>
        <w:t xml:space="preserve"> </w:t>
      </w:r>
      <w:r w:rsidR="008B49CF" w:rsidRPr="005B4D89">
        <w:rPr>
          <w:color w:val="000000"/>
          <w:kern w:val="24"/>
        </w:rPr>
        <w:t>techniques have been developed to approximate a full factorial design</w:t>
      </w:r>
      <w:r w:rsidR="00E86788" w:rsidRPr="005B4D89">
        <w:rPr>
          <w:color w:val="000000"/>
          <w:kern w:val="24"/>
        </w:rPr>
        <w:t xml:space="preserve"> by using fewer trials</w:t>
      </w:r>
      <w:r w:rsidR="008B49CF" w:rsidRPr="005B4D89">
        <w:rPr>
          <w:color w:val="000000"/>
          <w:kern w:val="24"/>
        </w:rPr>
        <w:t xml:space="preserve">. </w:t>
      </w:r>
      <w:r w:rsidR="00584BBD" w:rsidRPr="005B4D89">
        <w:rPr>
          <w:color w:val="000000"/>
          <w:kern w:val="24"/>
        </w:rPr>
        <w:t>Approximation techniques are necessary when the number of parameters increases since number of cases in a full factorial design with m parameters with n levels is n</w:t>
      </w:r>
      <w:r w:rsidR="00584BBD" w:rsidRPr="005B4D89">
        <w:rPr>
          <w:color w:val="000000"/>
          <w:kern w:val="24"/>
          <w:vertAlign w:val="superscript"/>
        </w:rPr>
        <w:t>m</w:t>
      </w:r>
      <w:r w:rsidR="00584BBD" w:rsidRPr="005B4D89">
        <w:rPr>
          <w:color w:val="000000"/>
          <w:kern w:val="24"/>
        </w:rPr>
        <w:t xml:space="preserve">. </w:t>
      </w:r>
    </w:p>
    <w:p w:rsidR="00417543" w:rsidRPr="005B4D89" w:rsidRDefault="00F919A9" w:rsidP="00F4216B">
      <w:pPr>
        <w:autoSpaceDE w:val="0"/>
        <w:autoSpaceDN w:val="0"/>
        <w:adjustRightInd w:val="0"/>
        <w:spacing w:line="276" w:lineRule="auto"/>
        <w:jc w:val="center"/>
        <w:rPr>
          <w:color w:val="000000"/>
          <w:kern w:val="24"/>
        </w:rPr>
      </w:pPr>
      <w:r w:rsidRPr="005B4D89">
        <w:rPr>
          <w:noProof/>
          <w:color w:val="000000"/>
          <w:kern w:val="24"/>
          <w:lang w:val="de-DE" w:eastAsia="de-DE"/>
        </w:rPr>
        <w:lastRenderedPageBreak/>
        <w:drawing>
          <wp:inline distT="0" distB="0" distL="0" distR="0">
            <wp:extent cx="3657600" cy="1399394"/>
            <wp:effectExtent l="57150" t="38100" r="38100" b="10306"/>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3657600" cy="1399394"/>
                    </a:xfrm>
                    <a:prstGeom prst="rect">
                      <a:avLst/>
                    </a:prstGeom>
                    <a:noFill/>
                    <a:ln w="28575">
                      <a:solidFill>
                        <a:schemeClr val="tx1"/>
                      </a:solidFill>
                    </a:ln>
                  </pic:spPr>
                </pic:pic>
              </a:graphicData>
            </a:graphic>
          </wp:inline>
        </w:drawing>
      </w:r>
    </w:p>
    <w:p w:rsidR="00417543" w:rsidRPr="005B4D89" w:rsidRDefault="00417543"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Figure 1.</w:t>
      </w:r>
      <w:proofErr w:type="gramEnd"/>
      <w:r w:rsidRPr="005B4D89">
        <w:rPr>
          <w:b/>
          <w:color w:val="000000"/>
          <w:kern w:val="24"/>
        </w:rPr>
        <w:t xml:space="preserve"> </w:t>
      </w:r>
      <w:proofErr w:type="spellStart"/>
      <w:r w:rsidRPr="005B4D89">
        <w:rPr>
          <w:b/>
          <w:color w:val="000000"/>
          <w:kern w:val="24"/>
        </w:rPr>
        <w:t>DoEx</w:t>
      </w:r>
      <w:proofErr w:type="spellEnd"/>
      <w:r w:rsidRPr="005B4D89">
        <w:rPr>
          <w:b/>
          <w:color w:val="000000"/>
          <w:kern w:val="24"/>
        </w:rPr>
        <w:t xml:space="preserve"> Parameter Space</w:t>
      </w:r>
    </w:p>
    <w:p w:rsidR="00417543" w:rsidRPr="005B4D89" w:rsidRDefault="00417543" w:rsidP="00F4216B">
      <w:pPr>
        <w:autoSpaceDE w:val="0"/>
        <w:autoSpaceDN w:val="0"/>
        <w:adjustRightInd w:val="0"/>
        <w:spacing w:line="276" w:lineRule="auto"/>
        <w:jc w:val="both"/>
        <w:rPr>
          <w:color w:val="000000"/>
          <w:kern w:val="24"/>
        </w:rPr>
      </w:pPr>
    </w:p>
    <w:p w:rsidR="00CD3659" w:rsidRPr="005B4D89" w:rsidRDefault="00CD3659" w:rsidP="00F4216B">
      <w:pPr>
        <w:autoSpaceDE w:val="0"/>
        <w:autoSpaceDN w:val="0"/>
        <w:adjustRightInd w:val="0"/>
        <w:spacing w:line="276" w:lineRule="auto"/>
        <w:ind w:firstLine="720"/>
        <w:jc w:val="both"/>
        <w:rPr>
          <w:color w:val="000000"/>
          <w:kern w:val="24"/>
        </w:rPr>
      </w:pPr>
      <w:r w:rsidRPr="005B4D89">
        <w:rPr>
          <w:color w:val="000000"/>
          <w:kern w:val="24"/>
        </w:rPr>
        <w:t>All</w:t>
      </w:r>
      <w:r w:rsidR="00F7153D" w:rsidRPr="005B4D89">
        <w:rPr>
          <w:color w:val="000000"/>
          <w:kern w:val="24"/>
        </w:rPr>
        <w:t xml:space="preserve"> 27 trials were run using</w:t>
      </w:r>
      <w:r w:rsidRPr="005B4D89">
        <w:rPr>
          <w:color w:val="000000"/>
          <w:kern w:val="24"/>
        </w:rPr>
        <w:t xml:space="preserve"> a reservoir flow model. Results </w:t>
      </w:r>
      <w:r w:rsidR="003C751F" w:rsidRPr="005B4D89">
        <w:rPr>
          <w:color w:val="000000"/>
          <w:kern w:val="24"/>
        </w:rPr>
        <w:t xml:space="preserve">for reservoir depletion </w:t>
      </w:r>
      <w:r w:rsidRPr="005B4D89">
        <w:rPr>
          <w:color w:val="000000"/>
          <w:kern w:val="24"/>
        </w:rPr>
        <w:t>are shown in Figure</w:t>
      </w:r>
      <w:r w:rsidR="009A78B6" w:rsidRPr="005B4D89">
        <w:rPr>
          <w:color w:val="000000"/>
          <w:kern w:val="24"/>
        </w:rPr>
        <w:t>s</w:t>
      </w:r>
      <w:r w:rsidR="00C56899" w:rsidRPr="005B4D89">
        <w:rPr>
          <w:color w:val="000000"/>
          <w:kern w:val="24"/>
        </w:rPr>
        <w:t xml:space="preserve"> 2</w:t>
      </w:r>
      <w:r w:rsidR="008A7F22" w:rsidRPr="005B4D89">
        <w:rPr>
          <w:color w:val="000000"/>
          <w:kern w:val="24"/>
        </w:rPr>
        <w:t xml:space="preserve"> </w:t>
      </w:r>
      <w:r w:rsidR="009A78B6" w:rsidRPr="005B4D89">
        <w:rPr>
          <w:color w:val="000000"/>
          <w:kern w:val="24"/>
        </w:rPr>
        <w:t>for a period of 3 years</w:t>
      </w:r>
      <w:r w:rsidRPr="005B4D89">
        <w:rPr>
          <w:color w:val="000000"/>
          <w:kern w:val="24"/>
        </w:rPr>
        <w:t>.</w:t>
      </w:r>
      <w:r w:rsidR="003503DA" w:rsidRPr="005B4D89">
        <w:rPr>
          <w:color w:val="000000"/>
          <w:kern w:val="24"/>
        </w:rPr>
        <w:t xml:space="preserve"> The models are comparable</w:t>
      </w:r>
      <w:r w:rsidR="005C2F9D" w:rsidRPr="005B4D89">
        <w:rPr>
          <w:color w:val="000000"/>
          <w:kern w:val="24"/>
        </w:rPr>
        <w:t xml:space="preserve"> in th</w:t>
      </w:r>
      <w:r w:rsidR="003503DA" w:rsidRPr="005B4D89">
        <w:rPr>
          <w:color w:val="000000"/>
          <w:kern w:val="24"/>
        </w:rPr>
        <w:t xml:space="preserve">e first few months, but </w:t>
      </w:r>
      <w:r w:rsidR="005C2F9D" w:rsidRPr="005B4D89">
        <w:rPr>
          <w:color w:val="000000"/>
          <w:kern w:val="24"/>
        </w:rPr>
        <w:t>begin to diverge</w:t>
      </w:r>
      <w:r w:rsidR="003503DA" w:rsidRPr="005B4D89">
        <w:rPr>
          <w:color w:val="000000"/>
          <w:kern w:val="24"/>
        </w:rPr>
        <w:t xml:space="preserve"> as the forecast continues. Since we do not have historical data to decide which forecast is correct, we need to consider them all. </w:t>
      </w:r>
    </w:p>
    <w:p w:rsidR="005C2F9D" w:rsidRPr="005B4D89" w:rsidRDefault="005C2F9D" w:rsidP="00F4216B">
      <w:pPr>
        <w:autoSpaceDE w:val="0"/>
        <w:autoSpaceDN w:val="0"/>
        <w:adjustRightInd w:val="0"/>
        <w:spacing w:line="276" w:lineRule="auto"/>
        <w:jc w:val="both"/>
        <w:rPr>
          <w:color w:val="000000"/>
          <w:kern w:val="24"/>
        </w:rPr>
      </w:pPr>
    </w:p>
    <w:p w:rsidR="005C2F9D" w:rsidRPr="005B4D89" w:rsidRDefault="002D45C6" w:rsidP="00F4216B">
      <w:pPr>
        <w:autoSpaceDE w:val="0"/>
        <w:autoSpaceDN w:val="0"/>
        <w:adjustRightInd w:val="0"/>
        <w:spacing w:line="276" w:lineRule="auto"/>
        <w:jc w:val="center"/>
        <w:rPr>
          <w:color w:val="000000"/>
          <w:kern w:val="24"/>
        </w:rPr>
      </w:pPr>
      <w:r w:rsidRPr="005B4D89">
        <w:rPr>
          <w:noProof/>
          <w:color w:val="000000"/>
          <w:kern w:val="24"/>
          <w:lang w:val="de-DE" w:eastAsia="de-DE"/>
        </w:rPr>
        <w:drawing>
          <wp:inline distT="0" distB="0" distL="0" distR="0">
            <wp:extent cx="3657600" cy="2657221"/>
            <wp:effectExtent l="57150" t="38100" r="38100" b="9779"/>
            <wp:docPr id="8" name="Picture 1"/>
            <wp:cNvGraphicFramePr/>
            <a:graphic xmlns:a="http://schemas.openxmlformats.org/drawingml/2006/main">
              <a:graphicData uri="http://schemas.openxmlformats.org/drawingml/2006/picture">
                <pic:pic xmlns:pic="http://schemas.openxmlformats.org/drawingml/2006/picture">
                  <pic:nvPicPr>
                    <pic:cNvPr id="72709" name="Picture 5"/>
                    <pic:cNvPicPr>
                      <a:picLocks noChangeAspect="1" noChangeArrowheads="1"/>
                    </pic:cNvPicPr>
                  </pic:nvPicPr>
                  <pic:blipFill>
                    <a:blip r:embed="rId8" cstate="print">
                      <a:grayscl/>
                    </a:blip>
                    <a:srcRect/>
                    <a:stretch>
                      <a:fillRect/>
                    </a:stretch>
                  </pic:blipFill>
                  <pic:spPr bwMode="auto">
                    <a:xfrm>
                      <a:off x="0" y="0"/>
                      <a:ext cx="3657600" cy="2657221"/>
                    </a:xfrm>
                    <a:prstGeom prst="rect">
                      <a:avLst/>
                    </a:prstGeom>
                    <a:noFill/>
                    <a:ln w="28575">
                      <a:solidFill>
                        <a:schemeClr val="tx1"/>
                      </a:solidFill>
                      <a:miter lim="800000"/>
                      <a:headEnd/>
                      <a:tailEnd/>
                    </a:ln>
                    <a:effectLst/>
                  </pic:spPr>
                </pic:pic>
              </a:graphicData>
            </a:graphic>
          </wp:inline>
        </w:drawing>
      </w:r>
      <w:r w:rsidRPr="005B4D89">
        <w:rPr>
          <w:noProof/>
        </w:rPr>
        <w:t xml:space="preserve"> </w:t>
      </w:r>
    </w:p>
    <w:p w:rsidR="002D45C6" w:rsidRPr="005B4D89" w:rsidRDefault="002D45C6"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Figure 2A.</w:t>
      </w:r>
      <w:proofErr w:type="gramEnd"/>
      <w:r w:rsidRPr="005B4D89">
        <w:rPr>
          <w:b/>
          <w:color w:val="000000"/>
          <w:kern w:val="24"/>
        </w:rPr>
        <w:t xml:space="preserve"> Dynamic Model Results for a Green Field: Pressure (</w:t>
      </w:r>
      <w:proofErr w:type="spellStart"/>
      <w:r w:rsidRPr="005B4D89">
        <w:rPr>
          <w:b/>
          <w:color w:val="000000"/>
          <w:kern w:val="24"/>
        </w:rPr>
        <w:t>psia</w:t>
      </w:r>
      <w:proofErr w:type="spellEnd"/>
      <w:r w:rsidRPr="005B4D89">
        <w:rPr>
          <w:b/>
          <w:color w:val="000000"/>
          <w:kern w:val="24"/>
        </w:rPr>
        <w:t>)</w:t>
      </w:r>
    </w:p>
    <w:p w:rsidR="002D45C6" w:rsidRPr="005B4D89" w:rsidRDefault="002D45C6" w:rsidP="00F4216B">
      <w:pPr>
        <w:autoSpaceDE w:val="0"/>
        <w:autoSpaceDN w:val="0"/>
        <w:adjustRightInd w:val="0"/>
        <w:spacing w:line="276" w:lineRule="auto"/>
        <w:jc w:val="both"/>
        <w:rPr>
          <w:color w:val="000000"/>
          <w:kern w:val="24"/>
        </w:rPr>
      </w:pPr>
    </w:p>
    <w:p w:rsidR="00AE6FAE" w:rsidRPr="005B4D89" w:rsidRDefault="000E2BF3" w:rsidP="00F4216B">
      <w:pPr>
        <w:autoSpaceDE w:val="0"/>
        <w:autoSpaceDN w:val="0"/>
        <w:adjustRightInd w:val="0"/>
        <w:spacing w:line="276" w:lineRule="auto"/>
        <w:jc w:val="center"/>
        <w:rPr>
          <w:color w:val="000000"/>
          <w:kern w:val="24"/>
        </w:rPr>
      </w:pPr>
      <w:r w:rsidRPr="005B4D89">
        <w:rPr>
          <w:noProof/>
          <w:color w:val="000000"/>
          <w:kern w:val="24"/>
          <w:lang w:val="de-DE" w:eastAsia="de-DE"/>
        </w:rPr>
        <w:lastRenderedPageBreak/>
        <w:drawing>
          <wp:inline distT="0" distB="0" distL="0" distR="0">
            <wp:extent cx="3672840" cy="2667000"/>
            <wp:effectExtent l="57150" t="38100" r="4191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grayscl/>
                    </a:blip>
                    <a:srcRect/>
                    <a:stretch>
                      <a:fillRect/>
                    </a:stretch>
                  </pic:blipFill>
                  <pic:spPr bwMode="auto">
                    <a:xfrm>
                      <a:off x="0" y="0"/>
                      <a:ext cx="3672840" cy="2667000"/>
                    </a:xfrm>
                    <a:prstGeom prst="rect">
                      <a:avLst/>
                    </a:prstGeom>
                    <a:noFill/>
                    <a:ln w="28575">
                      <a:solidFill>
                        <a:schemeClr val="tx1"/>
                      </a:solidFill>
                    </a:ln>
                  </pic:spPr>
                </pic:pic>
              </a:graphicData>
            </a:graphic>
          </wp:inline>
        </w:drawing>
      </w:r>
    </w:p>
    <w:p w:rsidR="00AE6FAE" w:rsidRPr="005B4D89" w:rsidRDefault="002D45C6"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Figure 2B.</w:t>
      </w:r>
      <w:proofErr w:type="gramEnd"/>
      <w:r w:rsidRPr="005B4D89">
        <w:rPr>
          <w:b/>
          <w:color w:val="000000"/>
          <w:kern w:val="24"/>
        </w:rPr>
        <w:t xml:space="preserve"> Dynamic Model Results for a Green Field: Pressure (</w:t>
      </w:r>
      <w:proofErr w:type="spellStart"/>
      <w:r w:rsidRPr="005B4D89">
        <w:rPr>
          <w:b/>
          <w:color w:val="000000"/>
          <w:kern w:val="24"/>
        </w:rPr>
        <w:t>psia</w:t>
      </w:r>
      <w:proofErr w:type="spellEnd"/>
      <w:r w:rsidRPr="005B4D89">
        <w:rPr>
          <w:b/>
          <w:color w:val="000000"/>
          <w:kern w:val="24"/>
        </w:rPr>
        <w:t>)</w:t>
      </w:r>
    </w:p>
    <w:p w:rsidR="002D45C6" w:rsidRPr="005B4D89" w:rsidRDefault="002D45C6" w:rsidP="00F4216B">
      <w:pPr>
        <w:autoSpaceDE w:val="0"/>
        <w:autoSpaceDN w:val="0"/>
        <w:adjustRightInd w:val="0"/>
        <w:spacing w:line="276" w:lineRule="auto"/>
        <w:jc w:val="both"/>
        <w:rPr>
          <w:b/>
          <w:color w:val="000000"/>
          <w:kern w:val="24"/>
        </w:rPr>
      </w:pPr>
    </w:p>
    <w:p w:rsidR="00AE6FAE" w:rsidRPr="005B4D89" w:rsidRDefault="00764DB7" w:rsidP="00F4216B">
      <w:pPr>
        <w:autoSpaceDE w:val="0"/>
        <w:autoSpaceDN w:val="0"/>
        <w:adjustRightInd w:val="0"/>
        <w:spacing w:line="276" w:lineRule="auto"/>
        <w:jc w:val="center"/>
        <w:rPr>
          <w:color w:val="000000"/>
          <w:kern w:val="24"/>
        </w:rPr>
      </w:pPr>
      <w:r w:rsidRPr="005B4D89">
        <w:rPr>
          <w:noProof/>
          <w:color w:val="000000"/>
          <w:kern w:val="24"/>
          <w:lang w:val="de-DE" w:eastAsia="de-DE"/>
        </w:rPr>
        <w:drawing>
          <wp:inline distT="0" distB="0" distL="0" distR="0">
            <wp:extent cx="3672840" cy="2667000"/>
            <wp:effectExtent l="57150" t="38100" r="4191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grayscl/>
                    </a:blip>
                    <a:srcRect/>
                    <a:stretch>
                      <a:fillRect/>
                    </a:stretch>
                  </pic:blipFill>
                  <pic:spPr bwMode="auto">
                    <a:xfrm>
                      <a:off x="0" y="0"/>
                      <a:ext cx="3672840" cy="2667000"/>
                    </a:xfrm>
                    <a:prstGeom prst="rect">
                      <a:avLst/>
                    </a:prstGeom>
                    <a:noFill/>
                    <a:ln w="28575">
                      <a:solidFill>
                        <a:schemeClr val="tx1"/>
                      </a:solidFill>
                    </a:ln>
                  </pic:spPr>
                </pic:pic>
              </a:graphicData>
            </a:graphic>
          </wp:inline>
        </w:drawing>
      </w:r>
    </w:p>
    <w:p w:rsidR="005C2F9D" w:rsidRPr="005B4D89" w:rsidRDefault="005C2F9D" w:rsidP="00416B97">
      <w:pPr>
        <w:autoSpaceDE w:val="0"/>
        <w:autoSpaceDN w:val="0"/>
        <w:adjustRightInd w:val="0"/>
        <w:spacing w:line="276" w:lineRule="auto"/>
        <w:jc w:val="center"/>
        <w:outlineLvl w:val="0"/>
        <w:rPr>
          <w:b/>
          <w:color w:val="000000"/>
          <w:kern w:val="24"/>
        </w:rPr>
      </w:pPr>
      <w:r w:rsidRPr="005B4D89">
        <w:rPr>
          <w:b/>
          <w:color w:val="000000"/>
          <w:kern w:val="24"/>
        </w:rPr>
        <w:t xml:space="preserve">Figure </w:t>
      </w:r>
      <w:r w:rsidR="00C56899" w:rsidRPr="005B4D89">
        <w:rPr>
          <w:b/>
          <w:color w:val="000000"/>
          <w:kern w:val="24"/>
        </w:rPr>
        <w:t>2</w:t>
      </w:r>
      <w:r w:rsidR="000E2BF3" w:rsidRPr="005B4D89">
        <w:rPr>
          <w:b/>
          <w:color w:val="000000"/>
          <w:kern w:val="24"/>
        </w:rPr>
        <w:t>C</w:t>
      </w:r>
      <w:r w:rsidRPr="005B4D89">
        <w:rPr>
          <w:b/>
          <w:color w:val="000000"/>
          <w:kern w:val="24"/>
        </w:rPr>
        <w:t>. Dynamic Model Results for a Green Field</w:t>
      </w:r>
      <w:r w:rsidR="000E2BF3" w:rsidRPr="005B4D89">
        <w:rPr>
          <w:b/>
          <w:color w:val="000000"/>
          <w:kern w:val="24"/>
        </w:rPr>
        <w:t>: Cumulative Oil (MSTB)</w:t>
      </w:r>
    </w:p>
    <w:p w:rsidR="00B462E5" w:rsidRPr="005B4D89" w:rsidRDefault="00B462E5" w:rsidP="00F4216B">
      <w:pPr>
        <w:spacing w:line="276" w:lineRule="auto"/>
        <w:jc w:val="both"/>
        <w:rPr>
          <w:color w:val="000000"/>
          <w:kern w:val="24"/>
        </w:rPr>
      </w:pPr>
    </w:p>
    <w:p w:rsidR="003047E9" w:rsidRPr="005B4D89" w:rsidRDefault="00B462E5" w:rsidP="00F4216B">
      <w:pPr>
        <w:spacing w:line="276" w:lineRule="auto"/>
        <w:ind w:firstLine="720"/>
        <w:jc w:val="both"/>
      </w:pPr>
      <w:r w:rsidRPr="005B4D89">
        <w:rPr>
          <w:color w:val="000000"/>
          <w:kern w:val="24"/>
        </w:rPr>
        <w:t>If we assume the results of each model are normally distributed, we estimate the average cumulative oil reco</w:t>
      </w:r>
      <w:r w:rsidR="00FA1C22" w:rsidRPr="005B4D89">
        <w:rPr>
          <w:color w:val="000000"/>
          <w:kern w:val="24"/>
        </w:rPr>
        <w:t>very at the end of three years a</w:t>
      </w:r>
      <w:r w:rsidRPr="005B4D89">
        <w:rPr>
          <w:color w:val="000000"/>
          <w:kern w:val="24"/>
        </w:rPr>
        <w:t>s 255 MSTB with a standard d</w:t>
      </w:r>
      <w:r w:rsidR="00C56899" w:rsidRPr="005B4D89">
        <w:rPr>
          <w:color w:val="000000"/>
          <w:kern w:val="24"/>
        </w:rPr>
        <w:t>eviation of 25 MSTB. Figure 3</w:t>
      </w:r>
      <w:r w:rsidRPr="005B4D89">
        <w:rPr>
          <w:color w:val="000000"/>
          <w:kern w:val="24"/>
        </w:rPr>
        <w:t xml:space="preserve"> shows the probability distribution for cumulative oil recovery for the green field.</w:t>
      </w:r>
      <w:r w:rsidR="00C75CB0" w:rsidRPr="005B4D89">
        <w:rPr>
          <w:color w:val="000000"/>
          <w:kern w:val="24"/>
        </w:rPr>
        <w:t xml:space="preserve"> </w:t>
      </w:r>
    </w:p>
    <w:p w:rsidR="003047E9" w:rsidRPr="005B4D89" w:rsidRDefault="003047E9" w:rsidP="00F4216B">
      <w:pPr>
        <w:spacing w:line="276" w:lineRule="auto"/>
        <w:jc w:val="both"/>
      </w:pPr>
    </w:p>
    <w:p w:rsidR="003047E9" w:rsidRPr="005B4D89" w:rsidRDefault="00B462E5" w:rsidP="00F4216B">
      <w:pPr>
        <w:spacing w:line="276" w:lineRule="auto"/>
        <w:jc w:val="center"/>
      </w:pPr>
      <w:r w:rsidRPr="005B4D89">
        <w:rPr>
          <w:noProof/>
          <w:lang w:val="de-DE" w:eastAsia="de-DE"/>
        </w:rPr>
        <w:lastRenderedPageBreak/>
        <w:drawing>
          <wp:inline distT="0" distB="0" distL="0" distR="0">
            <wp:extent cx="3657600" cy="2572074"/>
            <wp:effectExtent l="57150" t="38100" r="38100" b="18726"/>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blip>
                    <a:srcRect t="5584" r="8414"/>
                    <a:stretch>
                      <a:fillRect/>
                    </a:stretch>
                  </pic:blipFill>
                  <pic:spPr bwMode="auto">
                    <a:xfrm>
                      <a:off x="0" y="0"/>
                      <a:ext cx="3657600" cy="2572074"/>
                    </a:xfrm>
                    <a:prstGeom prst="rect">
                      <a:avLst/>
                    </a:prstGeom>
                    <a:noFill/>
                    <a:ln w="28575">
                      <a:solidFill>
                        <a:schemeClr val="tx1"/>
                      </a:solidFill>
                    </a:ln>
                  </pic:spPr>
                </pic:pic>
              </a:graphicData>
            </a:graphic>
          </wp:inline>
        </w:drawing>
      </w:r>
    </w:p>
    <w:p w:rsidR="003047E9" w:rsidRPr="005B4D89" w:rsidRDefault="003047E9"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 xml:space="preserve">Figure </w:t>
      </w:r>
      <w:r w:rsidR="00C56899" w:rsidRPr="005B4D89">
        <w:rPr>
          <w:b/>
          <w:color w:val="000000"/>
          <w:kern w:val="24"/>
        </w:rPr>
        <w:t>3</w:t>
      </w:r>
      <w:r w:rsidRPr="005B4D89">
        <w:rPr>
          <w:b/>
          <w:color w:val="000000"/>
          <w:kern w:val="24"/>
        </w:rPr>
        <w:t>.</w:t>
      </w:r>
      <w:proofErr w:type="gramEnd"/>
      <w:r w:rsidRPr="005B4D89">
        <w:rPr>
          <w:b/>
          <w:color w:val="000000"/>
          <w:kern w:val="24"/>
        </w:rPr>
        <w:t xml:space="preserve"> </w:t>
      </w:r>
      <w:r w:rsidR="0048650B" w:rsidRPr="005B4D89">
        <w:rPr>
          <w:b/>
          <w:color w:val="000000"/>
          <w:kern w:val="24"/>
        </w:rPr>
        <w:t xml:space="preserve">Green Field </w:t>
      </w:r>
      <w:r w:rsidRPr="005B4D89">
        <w:rPr>
          <w:b/>
          <w:color w:val="000000"/>
          <w:kern w:val="24"/>
        </w:rPr>
        <w:t>Cumulative Oil Recovery</w:t>
      </w:r>
    </w:p>
    <w:p w:rsidR="003047E9" w:rsidRPr="005B4D89" w:rsidRDefault="003047E9" w:rsidP="00F4216B">
      <w:pPr>
        <w:autoSpaceDE w:val="0"/>
        <w:autoSpaceDN w:val="0"/>
        <w:adjustRightInd w:val="0"/>
        <w:spacing w:line="276" w:lineRule="auto"/>
        <w:jc w:val="both"/>
        <w:rPr>
          <w:color w:val="000000"/>
          <w:kern w:val="24"/>
        </w:rPr>
      </w:pPr>
    </w:p>
    <w:p w:rsidR="004B07BD" w:rsidRPr="005B4D89" w:rsidRDefault="004B07BD" w:rsidP="00F4216B">
      <w:pPr>
        <w:autoSpaceDE w:val="0"/>
        <w:autoSpaceDN w:val="0"/>
        <w:adjustRightInd w:val="0"/>
        <w:spacing w:line="276" w:lineRule="auto"/>
        <w:ind w:firstLine="720"/>
        <w:jc w:val="both"/>
        <w:rPr>
          <w:color w:val="000000"/>
          <w:kern w:val="24"/>
        </w:rPr>
      </w:pPr>
      <w:r w:rsidRPr="005B4D89">
        <w:rPr>
          <w:color w:val="000000"/>
          <w:kern w:val="24"/>
        </w:rPr>
        <w:t>The results in Step G3 can be used to i</w:t>
      </w:r>
      <w:r w:rsidR="00F95781" w:rsidRPr="005B4D89">
        <w:rPr>
          <w:color w:val="000000"/>
          <w:kern w:val="24"/>
        </w:rPr>
        <w:t xml:space="preserve">dentify </w:t>
      </w:r>
      <w:r w:rsidRPr="005B4D89">
        <w:rPr>
          <w:color w:val="000000"/>
          <w:kern w:val="24"/>
        </w:rPr>
        <w:t>key p</w:t>
      </w:r>
      <w:r w:rsidR="00F95781" w:rsidRPr="005B4D89">
        <w:rPr>
          <w:color w:val="000000"/>
          <w:kern w:val="24"/>
        </w:rPr>
        <w:t>arameters</w:t>
      </w:r>
      <w:r w:rsidRPr="005B4D89">
        <w:rPr>
          <w:color w:val="000000"/>
          <w:kern w:val="24"/>
        </w:rPr>
        <w:t>. We can r</w:t>
      </w:r>
      <w:r w:rsidR="00F95781" w:rsidRPr="005B4D89">
        <w:rPr>
          <w:color w:val="000000"/>
          <w:kern w:val="24"/>
        </w:rPr>
        <w:t xml:space="preserve">ank </w:t>
      </w:r>
      <w:r w:rsidRPr="005B4D89">
        <w:rPr>
          <w:color w:val="000000"/>
          <w:kern w:val="24"/>
        </w:rPr>
        <w:t xml:space="preserve">key parameters by developing a regression model of the reservoir flow model results. The regression model is called a proxy. Equation </w:t>
      </w:r>
      <w:r w:rsidR="00F639A9" w:rsidRPr="005B4D89">
        <w:rPr>
          <w:color w:val="000000"/>
          <w:kern w:val="24"/>
        </w:rPr>
        <w:t>(</w:t>
      </w:r>
      <w:r w:rsidRPr="005B4D89">
        <w:rPr>
          <w:color w:val="000000"/>
          <w:kern w:val="24"/>
        </w:rPr>
        <w:t>1)</w:t>
      </w:r>
      <w:r w:rsidR="007E3255" w:rsidRPr="005B4D89">
        <w:rPr>
          <w:color w:val="000000"/>
          <w:kern w:val="24"/>
        </w:rPr>
        <w:t xml:space="preserve"> i</w:t>
      </w:r>
      <w:r w:rsidRPr="005B4D89">
        <w:rPr>
          <w:color w:val="000000"/>
          <w:kern w:val="24"/>
        </w:rPr>
        <w:t>s a linear regression model for our Valley Fill example</w:t>
      </w:r>
    </w:p>
    <w:tbl>
      <w:tblPr>
        <w:tblW w:w="0" w:type="auto"/>
        <w:jc w:val="center"/>
        <w:tblLook w:val="01E0"/>
      </w:tblPr>
      <w:tblGrid>
        <w:gridCol w:w="1008"/>
        <w:gridCol w:w="6840"/>
        <w:gridCol w:w="1008"/>
      </w:tblGrid>
      <w:tr w:rsidR="007C23CE" w:rsidRPr="005B4D89" w:rsidTr="00E27651">
        <w:trPr>
          <w:jc w:val="center"/>
        </w:trPr>
        <w:tc>
          <w:tcPr>
            <w:tcW w:w="1008" w:type="dxa"/>
            <w:vAlign w:val="center"/>
          </w:tcPr>
          <w:p w:rsidR="007C23CE" w:rsidRPr="005B4D89" w:rsidRDefault="007C23CE" w:rsidP="00F4216B">
            <w:pPr>
              <w:pStyle w:val="Textkrper"/>
              <w:spacing w:line="276" w:lineRule="auto"/>
              <w:jc w:val="left"/>
              <w:rPr>
                <w:sz w:val="24"/>
                <w:szCs w:val="24"/>
              </w:rPr>
            </w:pPr>
          </w:p>
        </w:tc>
        <w:tc>
          <w:tcPr>
            <w:tcW w:w="6840" w:type="dxa"/>
            <w:vAlign w:val="center"/>
          </w:tcPr>
          <w:p w:rsidR="007C23CE" w:rsidRPr="005B4D89" w:rsidRDefault="007C23CE" w:rsidP="00F4216B">
            <w:pPr>
              <w:pStyle w:val="Textkrper"/>
              <w:spacing w:line="276" w:lineRule="auto"/>
              <w:jc w:val="center"/>
              <w:rPr>
                <w:position w:val="-12"/>
                <w:sz w:val="24"/>
                <w:szCs w:val="24"/>
                <w:vertAlign w:val="superscript"/>
              </w:rPr>
            </w:pPr>
            <w:r w:rsidRPr="005B4D89">
              <w:rPr>
                <w:position w:val="-12"/>
                <w:sz w:val="24"/>
                <w:szCs w:val="24"/>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18pt" o:ole="">
                  <v:imagedata r:id="rId12" o:title=""/>
                </v:shape>
                <o:OLEObject Type="Embed" ProgID="Equation.3" ShapeID="_x0000_i1025" DrawAspect="Content" ObjectID="_1337869958" r:id="rId13"/>
              </w:object>
            </w:r>
          </w:p>
        </w:tc>
        <w:tc>
          <w:tcPr>
            <w:tcW w:w="1008" w:type="dxa"/>
            <w:vAlign w:val="center"/>
          </w:tcPr>
          <w:p w:rsidR="007C23CE" w:rsidRPr="005B4D89" w:rsidRDefault="00F639A9" w:rsidP="00F4216B">
            <w:pPr>
              <w:pStyle w:val="Textkrper"/>
              <w:spacing w:line="276" w:lineRule="auto"/>
              <w:jc w:val="right"/>
              <w:rPr>
                <w:sz w:val="24"/>
                <w:szCs w:val="24"/>
              </w:rPr>
            </w:pPr>
            <w:r w:rsidRPr="005B4D89">
              <w:rPr>
                <w:sz w:val="24"/>
                <w:szCs w:val="24"/>
              </w:rPr>
              <w:t>(</w:t>
            </w:r>
            <w:r w:rsidR="007C23CE" w:rsidRPr="005B4D89">
              <w:rPr>
                <w:sz w:val="24"/>
                <w:szCs w:val="24"/>
              </w:rPr>
              <w:t>1)</w:t>
            </w:r>
          </w:p>
        </w:tc>
      </w:tr>
    </w:tbl>
    <w:p w:rsidR="007C23CE" w:rsidRPr="005B4D89" w:rsidRDefault="007C23CE" w:rsidP="00F4216B">
      <w:pPr>
        <w:autoSpaceDE w:val="0"/>
        <w:autoSpaceDN w:val="0"/>
        <w:adjustRightInd w:val="0"/>
        <w:spacing w:line="276" w:lineRule="auto"/>
        <w:jc w:val="both"/>
        <w:rPr>
          <w:color w:val="000000"/>
          <w:kern w:val="24"/>
        </w:rPr>
      </w:pPr>
      <w:proofErr w:type="gramStart"/>
      <w:r w:rsidRPr="005B4D89">
        <w:rPr>
          <w:color w:val="000000"/>
          <w:kern w:val="24"/>
        </w:rPr>
        <w:t>where</w:t>
      </w:r>
      <w:proofErr w:type="gramEnd"/>
      <w:r w:rsidRPr="005B4D89">
        <w:rPr>
          <w:color w:val="000000"/>
          <w:kern w:val="24"/>
        </w:rPr>
        <w:t xml:space="preserve"> the regression </w:t>
      </w:r>
      <w:r w:rsidR="00A945A8" w:rsidRPr="005B4D89">
        <w:rPr>
          <w:color w:val="000000"/>
          <w:kern w:val="24"/>
        </w:rPr>
        <w:t>parameters</w:t>
      </w:r>
      <w:r w:rsidRPr="005B4D89">
        <w:rPr>
          <w:color w:val="000000"/>
          <w:kern w:val="24"/>
        </w:rPr>
        <w:t xml:space="preserve"> </w:t>
      </w:r>
      <w:r w:rsidR="005C00AA" w:rsidRPr="005B4D89">
        <w:rPr>
          <w:position w:val="-12"/>
        </w:rPr>
        <w:object w:dxaOrig="1060" w:dyaOrig="360">
          <v:shape id="_x0000_i1026" type="#_x0000_t75" style="width:52.8pt;height:18pt" o:ole="">
            <v:imagedata r:id="rId14" o:title=""/>
          </v:shape>
          <o:OLEObject Type="Embed" ProgID="Equation.3" ShapeID="_x0000_i1026" DrawAspect="Content" ObjectID="_1337869959" r:id="rId15"/>
        </w:object>
      </w:r>
      <w:r w:rsidRPr="005B4D89">
        <w:rPr>
          <w:position w:val="-12"/>
        </w:rPr>
        <w:t xml:space="preserve"> </w:t>
      </w:r>
      <w:r w:rsidRPr="005B4D89">
        <w:rPr>
          <w:color w:val="000000"/>
          <w:kern w:val="24"/>
        </w:rPr>
        <w:t xml:space="preserve">represent </w:t>
      </w:r>
      <w:r w:rsidR="005C00AA" w:rsidRPr="005B4D89">
        <w:rPr>
          <w:color w:val="000000"/>
          <w:kern w:val="24"/>
        </w:rPr>
        <w:t xml:space="preserve">porosity, permeability, and </w:t>
      </w:r>
      <w:r w:rsidR="00FB3D8E" w:rsidRPr="005B4D89">
        <w:rPr>
          <w:color w:val="000000"/>
          <w:kern w:val="24"/>
        </w:rPr>
        <w:t xml:space="preserve">pressure at the </w:t>
      </w:r>
      <w:r w:rsidR="005C00AA" w:rsidRPr="005B4D89">
        <w:rPr>
          <w:color w:val="000000"/>
          <w:kern w:val="24"/>
        </w:rPr>
        <w:t>water-oil contact (</w:t>
      </w:r>
      <w:r w:rsidR="00FB3D8E" w:rsidRPr="005B4D89">
        <w:rPr>
          <w:color w:val="000000"/>
          <w:kern w:val="24"/>
        </w:rPr>
        <w:t>P</w:t>
      </w:r>
      <w:r w:rsidR="005C00AA" w:rsidRPr="005B4D89">
        <w:rPr>
          <w:color w:val="000000"/>
          <w:kern w:val="24"/>
        </w:rPr>
        <w:t xml:space="preserve">WOC), respectively, and </w:t>
      </w:r>
      <w:r w:rsidR="00A945A8" w:rsidRPr="005B4D89">
        <w:rPr>
          <w:color w:val="000000"/>
          <w:kern w:val="24"/>
        </w:rPr>
        <w:t xml:space="preserve">the regression variable </w:t>
      </w:r>
      <w:r w:rsidR="0090146F" w:rsidRPr="005B4D89">
        <w:rPr>
          <w:position w:val="-10"/>
        </w:rPr>
        <w:object w:dxaOrig="220" w:dyaOrig="260">
          <v:shape id="_x0000_i1027" type="#_x0000_t75" style="width:11.4pt;height:12.6pt" o:ole="">
            <v:imagedata r:id="rId16" o:title=""/>
          </v:shape>
          <o:OLEObject Type="Embed" ProgID="Equation.3" ShapeID="_x0000_i1027" DrawAspect="Content" ObjectID="_1337869960" r:id="rId17"/>
        </w:object>
      </w:r>
      <w:r w:rsidR="005C00AA" w:rsidRPr="005B4D89">
        <w:rPr>
          <w:color w:val="000000"/>
          <w:kern w:val="24"/>
        </w:rPr>
        <w:t xml:space="preserve"> is cumulative oil recovery.</w:t>
      </w:r>
      <w:r w:rsidR="0090146F" w:rsidRPr="005B4D89">
        <w:rPr>
          <w:color w:val="000000"/>
          <w:kern w:val="24"/>
        </w:rPr>
        <w:t xml:space="preserve"> The coefficients </w:t>
      </w:r>
      <w:r w:rsidR="00C51BA1" w:rsidRPr="005B4D89">
        <w:rPr>
          <w:position w:val="-12"/>
        </w:rPr>
        <w:object w:dxaOrig="1400" w:dyaOrig="360">
          <v:shape id="_x0000_i1028" type="#_x0000_t75" style="width:69.6pt;height:18pt" o:ole="">
            <v:imagedata r:id="rId18" o:title=""/>
          </v:shape>
          <o:OLEObject Type="Embed" ProgID="Equation.3" ShapeID="_x0000_i1028" DrawAspect="Content" ObjectID="_1337869961" r:id="rId19"/>
        </w:object>
      </w:r>
      <w:r w:rsidR="0090146F" w:rsidRPr="005B4D89">
        <w:rPr>
          <w:color w:val="000000"/>
          <w:kern w:val="24"/>
        </w:rPr>
        <w:t xml:space="preserve"> are determined by regression analysis. Equation </w:t>
      </w:r>
      <w:r w:rsidR="00F639A9" w:rsidRPr="005B4D89">
        <w:rPr>
          <w:color w:val="000000"/>
          <w:kern w:val="24"/>
        </w:rPr>
        <w:t>(</w:t>
      </w:r>
      <w:r w:rsidR="0090146F" w:rsidRPr="005B4D89">
        <w:rPr>
          <w:color w:val="000000"/>
          <w:kern w:val="24"/>
        </w:rPr>
        <w:t xml:space="preserve">1) is a model of a linear response surface. </w:t>
      </w:r>
      <w:r w:rsidR="00107588" w:rsidRPr="005B4D89">
        <w:rPr>
          <w:color w:val="000000"/>
          <w:kern w:val="24"/>
        </w:rPr>
        <w:t xml:space="preserve">The response surface represents the relationship between input variables and output response. </w:t>
      </w:r>
      <w:r w:rsidR="0090146F" w:rsidRPr="005B4D89">
        <w:rPr>
          <w:color w:val="000000"/>
          <w:kern w:val="24"/>
        </w:rPr>
        <w:t>A non</w:t>
      </w:r>
      <w:r w:rsidR="00C51BA1" w:rsidRPr="005B4D89">
        <w:rPr>
          <w:color w:val="000000"/>
          <w:kern w:val="24"/>
        </w:rPr>
        <w:t xml:space="preserve">-linear response surface includes </w:t>
      </w:r>
      <w:r w:rsidR="00A945A8" w:rsidRPr="005B4D89">
        <w:rPr>
          <w:color w:val="000000"/>
          <w:kern w:val="24"/>
        </w:rPr>
        <w:t>products of regression parameters</w:t>
      </w:r>
      <w:r w:rsidR="00C51BA1" w:rsidRPr="005B4D89">
        <w:rPr>
          <w:color w:val="000000"/>
          <w:kern w:val="24"/>
        </w:rPr>
        <w:t>, such as the follo</w:t>
      </w:r>
      <w:r w:rsidR="007F7236" w:rsidRPr="005B4D89">
        <w:rPr>
          <w:color w:val="000000"/>
          <w:kern w:val="24"/>
        </w:rPr>
        <w:t>wing quadratic response surface</w:t>
      </w:r>
    </w:p>
    <w:tbl>
      <w:tblPr>
        <w:tblW w:w="0" w:type="auto"/>
        <w:jc w:val="center"/>
        <w:tblLook w:val="01E0"/>
      </w:tblPr>
      <w:tblGrid>
        <w:gridCol w:w="1008"/>
        <w:gridCol w:w="6840"/>
        <w:gridCol w:w="1008"/>
      </w:tblGrid>
      <w:tr w:rsidR="00C51BA1" w:rsidRPr="005B4D89" w:rsidTr="00E27651">
        <w:trPr>
          <w:jc w:val="center"/>
        </w:trPr>
        <w:tc>
          <w:tcPr>
            <w:tcW w:w="1008" w:type="dxa"/>
            <w:vAlign w:val="center"/>
          </w:tcPr>
          <w:p w:rsidR="00C51BA1" w:rsidRPr="005B4D89" w:rsidRDefault="00C51BA1" w:rsidP="00F4216B">
            <w:pPr>
              <w:pStyle w:val="Textkrper"/>
              <w:spacing w:line="276" w:lineRule="auto"/>
              <w:jc w:val="left"/>
              <w:rPr>
                <w:sz w:val="24"/>
                <w:szCs w:val="24"/>
              </w:rPr>
            </w:pPr>
          </w:p>
        </w:tc>
        <w:tc>
          <w:tcPr>
            <w:tcW w:w="6840" w:type="dxa"/>
            <w:vAlign w:val="center"/>
          </w:tcPr>
          <w:p w:rsidR="00C51BA1" w:rsidRPr="005B4D89" w:rsidRDefault="007F7236" w:rsidP="00F4216B">
            <w:pPr>
              <w:pStyle w:val="Textkrper"/>
              <w:spacing w:line="276" w:lineRule="auto"/>
              <w:jc w:val="center"/>
              <w:rPr>
                <w:position w:val="-12"/>
                <w:sz w:val="24"/>
                <w:szCs w:val="24"/>
                <w:vertAlign w:val="superscript"/>
              </w:rPr>
            </w:pPr>
            <w:r w:rsidRPr="005B4D89">
              <w:rPr>
                <w:position w:val="-30"/>
                <w:sz w:val="24"/>
                <w:szCs w:val="24"/>
              </w:rPr>
              <w:object w:dxaOrig="3100" w:dyaOrig="700">
                <v:shape id="_x0000_i1029" type="#_x0000_t75" style="width:153.6pt;height:35.4pt" o:ole="">
                  <v:imagedata r:id="rId20" o:title=""/>
                </v:shape>
                <o:OLEObject Type="Embed" ProgID="Equation.3" ShapeID="_x0000_i1029" DrawAspect="Content" ObjectID="_1337869962" r:id="rId21"/>
              </w:object>
            </w:r>
          </w:p>
        </w:tc>
        <w:tc>
          <w:tcPr>
            <w:tcW w:w="1008" w:type="dxa"/>
            <w:vAlign w:val="center"/>
          </w:tcPr>
          <w:p w:rsidR="00C51BA1" w:rsidRPr="005B4D89" w:rsidRDefault="00F639A9" w:rsidP="00F4216B">
            <w:pPr>
              <w:pStyle w:val="Textkrper"/>
              <w:spacing w:line="276" w:lineRule="auto"/>
              <w:jc w:val="right"/>
              <w:rPr>
                <w:sz w:val="24"/>
                <w:szCs w:val="24"/>
              </w:rPr>
            </w:pPr>
            <w:r w:rsidRPr="005B4D89">
              <w:rPr>
                <w:sz w:val="24"/>
                <w:szCs w:val="24"/>
              </w:rPr>
              <w:t>(</w:t>
            </w:r>
            <w:r w:rsidR="00C51BA1" w:rsidRPr="005B4D89">
              <w:rPr>
                <w:sz w:val="24"/>
                <w:szCs w:val="24"/>
              </w:rPr>
              <w:t>2)</w:t>
            </w:r>
          </w:p>
        </w:tc>
      </w:tr>
    </w:tbl>
    <w:p w:rsidR="00035331" w:rsidRPr="005B4D89" w:rsidRDefault="00035331" w:rsidP="00F4216B">
      <w:pPr>
        <w:autoSpaceDE w:val="0"/>
        <w:autoSpaceDN w:val="0"/>
        <w:adjustRightInd w:val="0"/>
        <w:spacing w:line="276" w:lineRule="auto"/>
        <w:jc w:val="both"/>
        <w:rPr>
          <w:color w:val="000000"/>
          <w:kern w:val="24"/>
        </w:rPr>
      </w:pPr>
    </w:p>
    <w:p w:rsidR="00C51BA1" w:rsidRPr="005B4D89" w:rsidRDefault="007F7236" w:rsidP="00F4216B">
      <w:pPr>
        <w:autoSpaceDE w:val="0"/>
        <w:autoSpaceDN w:val="0"/>
        <w:adjustRightInd w:val="0"/>
        <w:spacing w:line="276" w:lineRule="auto"/>
        <w:jc w:val="both"/>
        <w:rPr>
          <w:color w:val="000000"/>
          <w:kern w:val="24"/>
        </w:rPr>
      </w:pPr>
      <w:proofErr w:type="gramStart"/>
      <w:r w:rsidRPr="005B4D89">
        <w:rPr>
          <w:color w:val="000000"/>
          <w:kern w:val="24"/>
        </w:rPr>
        <w:t>with</w:t>
      </w:r>
      <w:proofErr w:type="gramEnd"/>
      <w:r w:rsidRPr="005B4D89">
        <w:rPr>
          <w:color w:val="000000"/>
          <w:kern w:val="24"/>
        </w:rPr>
        <w:t xml:space="preserve"> additional regression coefficients </w:t>
      </w:r>
      <w:r w:rsidR="007E3255" w:rsidRPr="005B4D89">
        <w:rPr>
          <w:position w:val="-14"/>
        </w:rPr>
        <w:object w:dxaOrig="440" w:dyaOrig="380">
          <v:shape id="_x0000_i1030" type="#_x0000_t75" style="width:21.6pt;height:18.6pt" o:ole="">
            <v:imagedata r:id="rId22" o:title=""/>
          </v:shape>
          <o:OLEObject Type="Embed" ProgID="Equation.3" ShapeID="_x0000_i1030" DrawAspect="Content" ObjectID="_1337869963" r:id="rId23"/>
        </w:object>
      </w:r>
      <w:r w:rsidRPr="005B4D89">
        <w:rPr>
          <w:color w:val="000000"/>
          <w:kern w:val="24"/>
        </w:rPr>
        <w:t>.</w:t>
      </w:r>
      <w:r w:rsidR="00C56899" w:rsidRPr="005B4D89">
        <w:rPr>
          <w:color w:val="000000"/>
          <w:kern w:val="24"/>
        </w:rPr>
        <w:t xml:space="preserve"> Figure 4</w:t>
      </w:r>
      <w:r w:rsidR="0048650B" w:rsidRPr="005B4D89">
        <w:rPr>
          <w:color w:val="000000"/>
          <w:kern w:val="24"/>
        </w:rPr>
        <w:t xml:space="preserve"> compares the linear </w:t>
      </w:r>
      <w:r w:rsidR="00806E82" w:rsidRPr="005B4D89">
        <w:rPr>
          <w:color w:val="000000"/>
          <w:kern w:val="24"/>
        </w:rPr>
        <w:t>regression model and a squared regression</w:t>
      </w:r>
      <w:r w:rsidR="0048650B" w:rsidRPr="005B4D89">
        <w:rPr>
          <w:color w:val="000000"/>
          <w:kern w:val="24"/>
        </w:rPr>
        <w:t xml:space="preserve"> model </w:t>
      </w:r>
      <w:r w:rsidR="00A945A8" w:rsidRPr="005B4D89">
        <w:rPr>
          <w:color w:val="000000"/>
          <w:kern w:val="24"/>
        </w:rPr>
        <w:t>without parameter</w:t>
      </w:r>
      <w:r w:rsidR="00806E82" w:rsidRPr="005B4D89">
        <w:rPr>
          <w:color w:val="000000"/>
          <w:kern w:val="24"/>
        </w:rPr>
        <w:t xml:space="preserve"> interaction, that is, a quadratic regression model with </w:t>
      </w:r>
      <w:r w:rsidR="0048650B" w:rsidRPr="005B4D89">
        <w:rPr>
          <w:position w:val="-14"/>
        </w:rPr>
        <w:object w:dxaOrig="1579" w:dyaOrig="380">
          <v:shape id="_x0000_i1031" type="#_x0000_t75" style="width:78.6pt;height:18.6pt" o:ole="">
            <v:imagedata r:id="rId24" o:title=""/>
          </v:shape>
          <o:OLEObject Type="Embed" ProgID="Equation.3" ShapeID="_x0000_i1031" DrawAspect="Content" ObjectID="_1337869964" r:id="rId25"/>
        </w:object>
      </w:r>
      <w:r w:rsidR="00806E82" w:rsidRPr="005B4D89">
        <w:rPr>
          <w:color w:val="000000"/>
          <w:kern w:val="24"/>
        </w:rPr>
        <w:t xml:space="preserve"> for the Valley Fill example. In this example, cumulative oil recovery is most affected by porosity, and least affected by </w:t>
      </w:r>
      <w:r w:rsidR="00FB3D8E" w:rsidRPr="005B4D89">
        <w:rPr>
          <w:color w:val="000000"/>
          <w:kern w:val="24"/>
        </w:rPr>
        <w:t>PWOC</w:t>
      </w:r>
      <w:r w:rsidR="00806E82" w:rsidRPr="005B4D89">
        <w:rPr>
          <w:color w:val="000000"/>
          <w:kern w:val="24"/>
        </w:rPr>
        <w:t>. Consequently, porosity is the heavy hitter.</w:t>
      </w:r>
    </w:p>
    <w:p w:rsidR="00C51BA1" w:rsidRPr="005B4D89" w:rsidRDefault="00AA7AB5" w:rsidP="00F4216B">
      <w:pPr>
        <w:autoSpaceDE w:val="0"/>
        <w:autoSpaceDN w:val="0"/>
        <w:adjustRightInd w:val="0"/>
        <w:spacing w:line="276" w:lineRule="auto"/>
        <w:jc w:val="center"/>
        <w:rPr>
          <w:color w:val="000000"/>
          <w:kern w:val="24"/>
        </w:rPr>
      </w:pPr>
      <w:r w:rsidRPr="005B4D89">
        <w:rPr>
          <w:noProof/>
          <w:color w:val="000000"/>
          <w:kern w:val="24"/>
          <w:lang w:val="de-DE" w:eastAsia="de-DE"/>
        </w:rPr>
        <w:lastRenderedPageBreak/>
        <w:drawing>
          <wp:inline distT="0" distB="0" distL="0" distR="0">
            <wp:extent cx="3672840" cy="3421380"/>
            <wp:effectExtent l="57150" t="38100" r="41910" b="266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grayscl/>
                    </a:blip>
                    <a:srcRect/>
                    <a:stretch>
                      <a:fillRect/>
                    </a:stretch>
                  </pic:blipFill>
                  <pic:spPr bwMode="auto">
                    <a:xfrm>
                      <a:off x="0" y="0"/>
                      <a:ext cx="3672840" cy="3421380"/>
                    </a:xfrm>
                    <a:prstGeom prst="rect">
                      <a:avLst/>
                    </a:prstGeom>
                    <a:noFill/>
                    <a:ln w="28575">
                      <a:solidFill>
                        <a:schemeClr val="tx1"/>
                      </a:solidFill>
                    </a:ln>
                  </pic:spPr>
                </pic:pic>
              </a:graphicData>
            </a:graphic>
          </wp:inline>
        </w:drawing>
      </w:r>
    </w:p>
    <w:p w:rsidR="0048650B" w:rsidRPr="005B4D89" w:rsidRDefault="0048650B"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 xml:space="preserve">Figure </w:t>
      </w:r>
      <w:r w:rsidR="00C56899" w:rsidRPr="005B4D89">
        <w:rPr>
          <w:b/>
          <w:color w:val="000000"/>
          <w:kern w:val="24"/>
        </w:rPr>
        <w:t>4</w:t>
      </w:r>
      <w:r w:rsidR="00AA7AB5" w:rsidRPr="005B4D89">
        <w:rPr>
          <w:b/>
          <w:color w:val="000000"/>
          <w:kern w:val="24"/>
        </w:rPr>
        <w:t>A</w:t>
      </w:r>
      <w:r w:rsidRPr="005B4D89">
        <w:rPr>
          <w:b/>
          <w:color w:val="000000"/>
          <w:kern w:val="24"/>
        </w:rPr>
        <w:t>.</w:t>
      </w:r>
      <w:proofErr w:type="gramEnd"/>
      <w:r w:rsidRPr="005B4D89">
        <w:rPr>
          <w:b/>
          <w:color w:val="000000"/>
          <w:kern w:val="24"/>
        </w:rPr>
        <w:t xml:space="preserve"> </w:t>
      </w:r>
      <w:r w:rsidR="00286448" w:rsidRPr="005B4D89">
        <w:rPr>
          <w:b/>
          <w:color w:val="000000"/>
          <w:kern w:val="24"/>
        </w:rPr>
        <w:t>Proxy Model</w:t>
      </w:r>
      <w:r w:rsidRPr="005B4D89">
        <w:rPr>
          <w:b/>
          <w:color w:val="000000"/>
          <w:kern w:val="24"/>
        </w:rPr>
        <w:t xml:space="preserve"> Results for Green Field Cumulative Oil Recovery</w:t>
      </w:r>
      <w:r w:rsidR="00AA7AB5" w:rsidRPr="005B4D89">
        <w:rPr>
          <w:b/>
          <w:color w:val="000000"/>
          <w:kern w:val="24"/>
        </w:rPr>
        <w:t>: Linear</w:t>
      </w:r>
    </w:p>
    <w:p w:rsidR="00AA7AB5" w:rsidRPr="005B4D89" w:rsidRDefault="00AA7AB5" w:rsidP="00F4216B">
      <w:pPr>
        <w:autoSpaceDE w:val="0"/>
        <w:autoSpaceDN w:val="0"/>
        <w:adjustRightInd w:val="0"/>
        <w:spacing w:line="276" w:lineRule="auto"/>
        <w:jc w:val="center"/>
        <w:rPr>
          <w:color w:val="000000"/>
          <w:kern w:val="24"/>
        </w:rPr>
      </w:pPr>
    </w:p>
    <w:p w:rsidR="00806E82" w:rsidRPr="005B4D89" w:rsidRDefault="00AA7AB5" w:rsidP="00F4216B">
      <w:pPr>
        <w:autoSpaceDE w:val="0"/>
        <w:autoSpaceDN w:val="0"/>
        <w:adjustRightInd w:val="0"/>
        <w:spacing w:line="276" w:lineRule="auto"/>
        <w:jc w:val="center"/>
        <w:rPr>
          <w:color w:val="000000"/>
          <w:kern w:val="24"/>
        </w:rPr>
      </w:pPr>
      <w:r w:rsidRPr="005B4D89">
        <w:rPr>
          <w:noProof/>
          <w:color w:val="000000"/>
          <w:kern w:val="24"/>
          <w:lang w:val="de-DE" w:eastAsia="de-DE"/>
        </w:rPr>
        <w:drawing>
          <wp:inline distT="0" distB="0" distL="0" distR="0">
            <wp:extent cx="3672840" cy="3497580"/>
            <wp:effectExtent l="57150" t="38100" r="41910" b="266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grayscl/>
                    </a:blip>
                    <a:srcRect/>
                    <a:stretch>
                      <a:fillRect/>
                    </a:stretch>
                  </pic:blipFill>
                  <pic:spPr bwMode="auto">
                    <a:xfrm>
                      <a:off x="0" y="0"/>
                      <a:ext cx="3672840" cy="3497580"/>
                    </a:xfrm>
                    <a:prstGeom prst="rect">
                      <a:avLst/>
                    </a:prstGeom>
                    <a:noFill/>
                    <a:ln w="28575">
                      <a:solidFill>
                        <a:schemeClr val="tx1"/>
                      </a:solidFill>
                    </a:ln>
                  </pic:spPr>
                </pic:pic>
              </a:graphicData>
            </a:graphic>
          </wp:inline>
        </w:drawing>
      </w:r>
    </w:p>
    <w:p w:rsidR="00AA7AB5" w:rsidRPr="005B4D89" w:rsidRDefault="00AA7AB5" w:rsidP="00416B97">
      <w:pPr>
        <w:autoSpaceDE w:val="0"/>
        <w:autoSpaceDN w:val="0"/>
        <w:adjustRightInd w:val="0"/>
        <w:spacing w:line="276" w:lineRule="auto"/>
        <w:jc w:val="center"/>
        <w:outlineLvl w:val="0"/>
        <w:rPr>
          <w:b/>
          <w:color w:val="000000"/>
          <w:kern w:val="24"/>
        </w:rPr>
      </w:pPr>
      <w:proofErr w:type="gramStart"/>
      <w:r w:rsidRPr="005B4D89">
        <w:rPr>
          <w:b/>
          <w:color w:val="000000"/>
          <w:kern w:val="24"/>
        </w:rPr>
        <w:t>Figure 4B.</w:t>
      </w:r>
      <w:proofErr w:type="gramEnd"/>
      <w:r w:rsidRPr="005B4D89">
        <w:rPr>
          <w:b/>
          <w:color w:val="000000"/>
          <w:kern w:val="24"/>
        </w:rPr>
        <w:t xml:space="preserve"> Proxy Model Results for Green Field Cumulative Oil Recovery: Squared</w:t>
      </w:r>
    </w:p>
    <w:p w:rsidR="00AA7AB5" w:rsidRPr="005B4D89" w:rsidRDefault="00AA7AB5" w:rsidP="00F4216B">
      <w:pPr>
        <w:autoSpaceDE w:val="0"/>
        <w:autoSpaceDN w:val="0"/>
        <w:adjustRightInd w:val="0"/>
        <w:spacing w:line="276" w:lineRule="auto"/>
        <w:jc w:val="both"/>
        <w:rPr>
          <w:color w:val="000000"/>
          <w:kern w:val="24"/>
        </w:rPr>
      </w:pPr>
    </w:p>
    <w:p w:rsidR="00F95781" w:rsidRPr="005B4D89" w:rsidRDefault="00806E82" w:rsidP="00F4216B">
      <w:pPr>
        <w:autoSpaceDE w:val="0"/>
        <w:autoSpaceDN w:val="0"/>
        <w:adjustRightInd w:val="0"/>
        <w:spacing w:line="276" w:lineRule="auto"/>
        <w:ind w:firstLine="720"/>
        <w:jc w:val="both"/>
        <w:rPr>
          <w:color w:val="000000"/>
          <w:kern w:val="24"/>
        </w:rPr>
      </w:pPr>
      <w:r w:rsidRPr="005B4D89">
        <w:rPr>
          <w:color w:val="000000"/>
          <w:kern w:val="24"/>
        </w:rPr>
        <w:lastRenderedPageBreak/>
        <w:t>The proxy models can be used to perform Monte Carlo a</w:t>
      </w:r>
      <w:r w:rsidR="00F95781" w:rsidRPr="005B4D89">
        <w:rPr>
          <w:color w:val="000000"/>
          <w:kern w:val="24"/>
        </w:rPr>
        <w:t>nalysis</w:t>
      </w:r>
      <w:r w:rsidRPr="005B4D89">
        <w:rPr>
          <w:color w:val="000000"/>
          <w:kern w:val="24"/>
        </w:rPr>
        <w:t>. The advantage of Monte Carlo analysis is that hundreds or thousands of proxy cases can be run to generate a probability distribution of results. The quality of the Monte Carlo analysis depe</w:t>
      </w:r>
      <w:r w:rsidR="00A945A8" w:rsidRPr="005B4D89">
        <w:rPr>
          <w:color w:val="000000"/>
          <w:kern w:val="24"/>
        </w:rPr>
        <w:t>nds on the quality of the proxy and the distribution of regression parameters. Given the distributions and a proxy, a large number of trials can be run in a few minutes. The set of Monte Carlo runs can then be analyzed to determine the relative importance of regression parameters and the probability distribution associated with the regression variable.</w:t>
      </w:r>
    </w:p>
    <w:p w:rsidR="005C2F9D" w:rsidRDefault="008A58B4" w:rsidP="00F4216B">
      <w:pPr>
        <w:spacing w:line="276" w:lineRule="auto"/>
        <w:jc w:val="both"/>
      </w:pPr>
      <w:r w:rsidRPr="005B4D89">
        <w:tab/>
      </w:r>
      <w:r w:rsidR="00715CF7" w:rsidRPr="005B4D89">
        <w:t xml:space="preserve">The sophistication of the </w:t>
      </w:r>
      <w:r w:rsidR="006853EF" w:rsidRPr="005B4D89">
        <w:t xml:space="preserve">green field </w:t>
      </w:r>
      <w:r w:rsidR="00715CF7" w:rsidRPr="005B4D89">
        <w:t>analysis</w:t>
      </w:r>
      <w:r w:rsidR="006853EF" w:rsidRPr="005B4D89">
        <w:t xml:space="preserve"> workflow</w:t>
      </w:r>
      <w:r w:rsidR="00715CF7" w:rsidRPr="005B4D89">
        <w:t xml:space="preserve"> can imply a level of certainty that is deceiving. It is important to remember that reservoir flow model results depend on an assessment of uncertainties that are quantified based on limited sampling of data, selection of parameters and associated uncertainty ranges that may be incom</w:t>
      </w:r>
      <w:r w:rsidR="00AF2DBC" w:rsidRPr="005B4D89">
        <w:t>plete or inadequate, calibrated</w:t>
      </w:r>
      <w:r w:rsidR="00715CF7" w:rsidRPr="005B4D89">
        <w:t xml:space="preserve"> to</w:t>
      </w:r>
      <w:r w:rsidR="00A90C11" w:rsidRPr="005B4D89">
        <w:t xml:space="preserve"> little or no</w:t>
      </w:r>
      <w:r w:rsidR="00715CF7" w:rsidRPr="005B4D89">
        <w:t xml:space="preserve"> field performance, and </w:t>
      </w:r>
      <w:r w:rsidR="00AF2DBC" w:rsidRPr="005B4D89">
        <w:t>use</w:t>
      </w:r>
      <w:r w:rsidR="00715CF7" w:rsidRPr="005B4D89">
        <w:t xml:space="preserve"> of parameter distributions that may only be approximate. </w:t>
      </w:r>
      <w:r w:rsidR="00A90C11" w:rsidRPr="005B4D89">
        <w:t xml:space="preserve">Despite these limitations, the workflow for analyzing a green field </w:t>
      </w:r>
      <w:r w:rsidR="006853EF" w:rsidRPr="005B4D89">
        <w:t>is repeatable, can quantify uncertainty, and facilitates an objective appraisal of competing project options.</w:t>
      </w:r>
    </w:p>
    <w:p w:rsidR="00D0570C" w:rsidRPr="005B4D89" w:rsidRDefault="00D0570C" w:rsidP="00F4216B">
      <w:pPr>
        <w:spacing w:line="276" w:lineRule="auto"/>
        <w:jc w:val="both"/>
      </w:pPr>
    </w:p>
    <w:sectPr w:rsidR="00D0570C" w:rsidRPr="005B4D89" w:rsidSect="002063FA">
      <w:headerReference w:type="defaul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78" w:rsidRDefault="00524078" w:rsidP="008030F6">
      <w:r>
        <w:separator/>
      </w:r>
    </w:p>
  </w:endnote>
  <w:endnote w:type="continuationSeparator" w:id="1">
    <w:p w:rsidR="00524078" w:rsidRDefault="00524078" w:rsidP="00803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78" w:rsidRDefault="00524078" w:rsidP="008030F6">
      <w:r>
        <w:separator/>
      </w:r>
    </w:p>
  </w:footnote>
  <w:footnote w:type="continuationSeparator" w:id="1">
    <w:p w:rsidR="00524078" w:rsidRDefault="00524078" w:rsidP="00803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45"/>
      <w:docPartObj>
        <w:docPartGallery w:val="Page Numbers (Top of Page)"/>
        <w:docPartUnique/>
      </w:docPartObj>
    </w:sdtPr>
    <w:sdtContent>
      <w:p w:rsidR="005B4D89" w:rsidRDefault="009E5FA8">
        <w:pPr>
          <w:pStyle w:val="Kopfzeile"/>
          <w:jc w:val="right"/>
        </w:pPr>
        <w:fldSimple w:instr=" PAGE   \* MERGEFORMAT ">
          <w:r w:rsidR="00EE3F2B">
            <w:rPr>
              <w:noProof/>
            </w:rPr>
            <w:t>1</w:t>
          </w:r>
        </w:fldSimple>
      </w:p>
    </w:sdtContent>
  </w:sdt>
  <w:p w:rsidR="005B4D89" w:rsidRDefault="005B4D8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E80"/>
    <w:multiLevelType w:val="hybridMultilevel"/>
    <w:tmpl w:val="8FB0F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F3ED1"/>
    <w:multiLevelType w:val="hybridMultilevel"/>
    <w:tmpl w:val="8FB0F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51FBB"/>
    <w:multiLevelType w:val="hybridMultilevel"/>
    <w:tmpl w:val="D506BFBA"/>
    <w:lvl w:ilvl="0" w:tplc="0409000B">
      <w:start w:val="1"/>
      <w:numFmt w:val="bullet"/>
      <w:lvlText w:val=""/>
      <w:lvlJc w:val="left"/>
      <w:pPr>
        <w:tabs>
          <w:tab w:val="num" w:pos="1080"/>
        </w:tabs>
        <w:ind w:left="1080" w:hanging="360"/>
      </w:pPr>
      <w:rPr>
        <w:rFonts w:ascii="Wingdings" w:hAnsi="Wingdings" w:hint="default"/>
      </w:rPr>
    </w:lvl>
    <w:lvl w:ilvl="1" w:tplc="E246125A">
      <w:numFmt w:val="bullet"/>
      <w:lvlText w:val=""/>
      <w:lvlJc w:val="left"/>
      <w:pPr>
        <w:tabs>
          <w:tab w:val="num" w:pos="1800"/>
        </w:tabs>
        <w:ind w:left="1800" w:hanging="360"/>
      </w:pPr>
      <w:rPr>
        <w:rFonts w:ascii="WP IconicSymbolsA" w:eastAsia="Times New Roman" w:hAnsi="WP IconicSymbolsA"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DB70267"/>
    <w:multiLevelType w:val="hybridMultilevel"/>
    <w:tmpl w:val="B55AB39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AEC1E99"/>
    <w:multiLevelType w:val="hybridMultilevel"/>
    <w:tmpl w:val="066A94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EE048F"/>
    <w:rsid w:val="000039BE"/>
    <w:rsid w:val="00006CD0"/>
    <w:rsid w:val="0001194E"/>
    <w:rsid w:val="00016DC7"/>
    <w:rsid w:val="000211BE"/>
    <w:rsid w:val="000224F1"/>
    <w:rsid w:val="00022F9D"/>
    <w:rsid w:val="00023886"/>
    <w:rsid w:val="000260E3"/>
    <w:rsid w:val="00034EAB"/>
    <w:rsid w:val="00035331"/>
    <w:rsid w:val="00035C1A"/>
    <w:rsid w:val="00037C31"/>
    <w:rsid w:val="00043825"/>
    <w:rsid w:val="00044383"/>
    <w:rsid w:val="000453CC"/>
    <w:rsid w:val="000544C6"/>
    <w:rsid w:val="000667CA"/>
    <w:rsid w:val="00067769"/>
    <w:rsid w:val="00076B98"/>
    <w:rsid w:val="000913E3"/>
    <w:rsid w:val="00091A80"/>
    <w:rsid w:val="00095155"/>
    <w:rsid w:val="00095246"/>
    <w:rsid w:val="000A2DD4"/>
    <w:rsid w:val="000B30A3"/>
    <w:rsid w:val="000B4671"/>
    <w:rsid w:val="000C2BED"/>
    <w:rsid w:val="000C361F"/>
    <w:rsid w:val="000C551B"/>
    <w:rsid w:val="000C5565"/>
    <w:rsid w:val="000C63A3"/>
    <w:rsid w:val="000C6A45"/>
    <w:rsid w:val="000D03FD"/>
    <w:rsid w:val="000D2F01"/>
    <w:rsid w:val="000E2BF3"/>
    <w:rsid w:val="000E2DA7"/>
    <w:rsid w:val="000E724D"/>
    <w:rsid w:val="000F0E57"/>
    <w:rsid w:val="000F497D"/>
    <w:rsid w:val="00106015"/>
    <w:rsid w:val="00107588"/>
    <w:rsid w:val="00107B1C"/>
    <w:rsid w:val="00110F0C"/>
    <w:rsid w:val="00114A9C"/>
    <w:rsid w:val="00121C7A"/>
    <w:rsid w:val="00122BE5"/>
    <w:rsid w:val="0012508B"/>
    <w:rsid w:val="00125FF8"/>
    <w:rsid w:val="00133CC6"/>
    <w:rsid w:val="00143055"/>
    <w:rsid w:val="00146890"/>
    <w:rsid w:val="00152305"/>
    <w:rsid w:val="001558F8"/>
    <w:rsid w:val="0016297D"/>
    <w:rsid w:val="0016552B"/>
    <w:rsid w:val="00173D8A"/>
    <w:rsid w:val="00185090"/>
    <w:rsid w:val="0018659E"/>
    <w:rsid w:val="001907B5"/>
    <w:rsid w:val="001927B1"/>
    <w:rsid w:val="001976BF"/>
    <w:rsid w:val="00197994"/>
    <w:rsid w:val="001A028F"/>
    <w:rsid w:val="001A6D64"/>
    <w:rsid w:val="001B28C4"/>
    <w:rsid w:val="001B2D2B"/>
    <w:rsid w:val="001B3D8F"/>
    <w:rsid w:val="001B54CB"/>
    <w:rsid w:val="001C1CB3"/>
    <w:rsid w:val="001C422C"/>
    <w:rsid w:val="001C69B4"/>
    <w:rsid w:val="001D6AAA"/>
    <w:rsid w:val="001E034B"/>
    <w:rsid w:val="00201F83"/>
    <w:rsid w:val="0020370A"/>
    <w:rsid w:val="00204636"/>
    <w:rsid w:val="002046AF"/>
    <w:rsid w:val="002063FA"/>
    <w:rsid w:val="00206945"/>
    <w:rsid w:val="00214A5E"/>
    <w:rsid w:val="002209B1"/>
    <w:rsid w:val="002238D6"/>
    <w:rsid w:val="00230F1C"/>
    <w:rsid w:val="0023140D"/>
    <w:rsid w:val="002339DC"/>
    <w:rsid w:val="002339FE"/>
    <w:rsid w:val="0023553A"/>
    <w:rsid w:val="00235956"/>
    <w:rsid w:val="00240448"/>
    <w:rsid w:val="00242CEF"/>
    <w:rsid w:val="002460A9"/>
    <w:rsid w:val="00251FFB"/>
    <w:rsid w:val="002544B7"/>
    <w:rsid w:val="0026122B"/>
    <w:rsid w:val="00262C79"/>
    <w:rsid w:val="002643FC"/>
    <w:rsid w:val="00270579"/>
    <w:rsid w:val="00280293"/>
    <w:rsid w:val="00280A2B"/>
    <w:rsid w:val="00280E8E"/>
    <w:rsid w:val="00286448"/>
    <w:rsid w:val="0028784F"/>
    <w:rsid w:val="00292919"/>
    <w:rsid w:val="00295EE2"/>
    <w:rsid w:val="0029680C"/>
    <w:rsid w:val="002973B4"/>
    <w:rsid w:val="002B2BBD"/>
    <w:rsid w:val="002B692A"/>
    <w:rsid w:val="002C055C"/>
    <w:rsid w:val="002C62D8"/>
    <w:rsid w:val="002C78CF"/>
    <w:rsid w:val="002D1732"/>
    <w:rsid w:val="002D3C1C"/>
    <w:rsid w:val="002D45C6"/>
    <w:rsid w:val="002D4818"/>
    <w:rsid w:val="002D6EA1"/>
    <w:rsid w:val="002E1D15"/>
    <w:rsid w:val="002F18C1"/>
    <w:rsid w:val="002F580C"/>
    <w:rsid w:val="00302454"/>
    <w:rsid w:val="003047E9"/>
    <w:rsid w:val="003056E2"/>
    <w:rsid w:val="00307ECA"/>
    <w:rsid w:val="003101FE"/>
    <w:rsid w:val="00310C91"/>
    <w:rsid w:val="003159F0"/>
    <w:rsid w:val="00320630"/>
    <w:rsid w:val="00325D2E"/>
    <w:rsid w:val="00333ABA"/>
    <w:rsid w:val="003345EC"/>
    <w:rsid w:val="0033467F"/>
    <w:rsid w:val="00335CEF"/>
    <w:rsid w:val="00337BDA"/>
    <w:rsid w:val="003419C9"/>
    <w:rsid w:val="00341D27"/>
    <w:rsid w:val="00341E81"/>
    <w:rsid w:val="00343C06"/>
    <w:rsid w:val="00350179"/>
    <w:rsid w:val="003503DA"/>
    <w:rsid w:val="00355905"/>
    <w:rsid w:val="00356AF6"/>
    <w:rsid w:val="00360F5F"/>
    <w:rsid w:val="003613F2"/>
    <w:rsid w:val="00366DA3"/>
    <w:rsid w:val="00371ABB"/>
    <w:rsid w:val="00374BB8"/>
    <w:rsid w:val="003815B1"/>
    <w:rsid w:val="00381C25"/>
    <w:rsid w:val="00382EC7"/>
    <w:rsid w:val="00383648"/>
    <w:rsid w:val="00397862"/>
    <w:rsid w:val="003A5F50"/>
    <w:rsid w:val="003B07D1"/>
    <w:rsid w:val="003B2F7A"/>
    <w:rsid w:val="003C1FB2"/>
    <w:rsid w:val="003C751F"/>
    <w:rsid w:val="003C79B5"/>
    <w:rsid w:val="003D35CE"/>
    <w:rsid w:val="003D73B2"/>
    <w:rsid w:val="003E3C6E"/>
    <w:rsid w:val="003F2AE9"/>
    <w:rsid w:val="003F2E15"/>
    <w:rsid w:val="003F6A6F"/>
    <w:rsid w:val="003F6D2F"/>
    <w:rsid w:val="003F71CE"/>
    <w:rsid w:val="003F7AF6"/>
    <w:rsid w:val="003F7B7B"/>
    <w:rsid w:val="0040398C"/>
    <w:rsid w:val="00407399"/>
    <w:rsid w:val="00410F5F"/>
    <w:rsid w:val="00413706"/>
    <w:rsid w:val="0041681C"/>
    <w:rsid w:val="00416B97"/>
    <w:rsid w:val="00417543"/>
    <w:rsid w:val="00420955"/>
    <w:rsid w:val="00444E84"/>
    <w:rsid w:val="004530A0"/>
    <w:rsid w:val="004603FD"/>
    <w:rsid w:val="00462D64"/>
    <w:rsid w:val="0046558A"/>
    <w:rsid w:val="00474CBB"/>
    <w:rsid w:val="004750AD"/>
    <w:rsid w:val="004809B9"/>
    <w:rsid w:val="004820C2"/>
    <w:rsid w:val="00484E22"/>
    <w:rsid w:val="0048650B"/>
    <w:rsid w:val="004907CB"/>
    <w:rsid w:val="00490AEE"/>
    <w:rsid w:val="0049173F"/>
    <w:rsid w:val="004940B9"/>
    <w:rsid w:val="004A1C4E"/>
    <w:rsid w:val="004A1EA0"/>
    <w:rsid w:val="004A26BE"/>
    <w:rsid w:val="004A30D2"/>
    <w:rsid w:val="004A7CCD"/>
    <w:rsid w:val="004B07BD"/>
    <w:rsid w:val="004B748D"/>
    <w:rsid w:val="004B7C34"/>
    <w:rsid w:val="004B7C37"/>
    <w:rsid w:val="004C1572"/>
    <w:rsid w:val="004C3F1E"/>
    <w:rsid w:val="004C4C05"/>
    <w:rsid w:val="004D25B3"/>
    <w:rsid w:val="004D69B9"/>
    <w:rsid w:val="004E7E1A"/>
    <w:rsid w:val="004F31D0"/>
    <w:rsid w:val="005047B4"/>
    <w:rsid w:val="00507FCD"/>
    <w:rsid w:val="00517000"/>
    <w:rsid w:val="00523957"/>
    <w:rsid w:val="00524078"/>
    <w:rsid w:val="005246E1"/>
    <w:rsid w:val="005252BD"/>
    <w:rsid w:val="005262D7"/>
    <w:rsid w:val="00526C5D"/>
    <w:rsid w:val="00530E4F"/>
    <w:rsid w:val="00531342"/>
    <w:rsid w:val="005318B3"/>
    <w:rsid w:val="005322F8"/>
    <w:rsid w:val="00535865"/>
    <w:rsid w:val="0053590D"/>
    <w:rsid w:val="00543CC1"/>
    <w:rsid w:val="00546892"/>
    <w:rsid w:val="005532F3"/>
    <w:rsid w:val="005544E0"/>
    <w:rsid w:val="00555704"/>
    <w:rsid w:val="00555F5D"/>
    <w:rsid w:val="00574827"/>
    <w:rsid w:val="00577F5D"/>
    <w:rsid w:val="00580AC7"/>
    <w:rsid w:val="00582E07"/>
    <w:rsid w:val="00583218"/>
    <w:rsid w:val="00584795"/>
    <w:rsid w:val="00584BBD"/>
    <w:rsid w:val="00591D28"/>
    <w:rsid w:val="00595305"/>
    <w:rsid w:val="00596E41"/>
    <w:rsid w:val="005A0095"/>
    <w:rsid w:val="005A0C30"/>
    <w:rsid w:val="005A4F67"/>
    <w:rsid w:val="005A51D9"/>
    <w:rsid w:val="005A6AD0"/>
    <w:rsid w:val="005B049E"/>
    <w:rsid w:val="005B4D89"/>
    <w:rsid w:val="005B7A59"/>
    <w:rsid w:val="005C00AA"/>
    <w:rsid w:val="005C2F9D"/>
    <w:rsid w:val="005C63FC"/>
    <w:rsid w:val="005D126D"/>
    <w:rsid w:val="005D1D00"/>
    <w:rsid w:val="005D29EF"/>
    <w:rsid w:val="005D6C72"/>
    <w:rsid w:val="005D7726"/>
    <w:rsid w:val="005E6ED9"/>
    <w:rsid w:val="005E7411"/>
    <w:rsid w:val="005F3E21"/>
    <w:rsid w:val="005F54E9"/>
    <w:rsid w:val="00604212"/>
    <w:rsid w:val="00606D0F"/>
    <w:rsid w:val="006106CD"/>
    <w:rsid w:val="00611107"/>
    <w:rsid w:val="00611D34"/>
    <w:rsid w:val="0062140A"/>
    <w:rsid w:val="00622083"/>
    <w:rsid w:val="0062256F"/>
    <w:rsid w:val="0062280C"/>
    <w:rsid w:val="006315F1"/>
    <w:rsid w:val="00632ACC"/>
    <w:rsid w:val="006331C0"/>
    <w:rsid w:val="006353E8"/>
    <w:rsid w:val="00661067"/>
    <w:rsid w:val="006733F6"/>
    <w:rsid w:val="00675692"/>
    <w:rsid w:val="00680B5F"/>
    <w:rsid w:val="00682370"/>
    <w:rsid w:val="0068433A"/>
    <w:rsid w:val="006853EF"/>
    <w:rsid w:val="00686F9F"/>
    <w:rsid w:val="006938E6"/>
    <w:rsid w:val="00695ED2"/>
    <w:rsid w:val="00696747"/>
    <w:rsid w:val="006968A6"/>
    <w:rsid w:val="006A1EAC"/>
    <w:rsid w:val="006A62A6"/>
    <w:rsid w:val="006B0FF1"/>
    <w:rsid w:val="006B2209"/>
    <w:rsid w:val="006B347D"/>
    <w:rsid w:val="006B50CD"/>
    <w:rsid w:val="006C3335"/>
    <w:rsid w:val="006D0999"/>
    <w:rsid w:val="006D229F"/>
    <w:rsid w:val="006D5E48"/>
    <w:rsid w:val="006F423F"/>
    <w:rsid w:val="0070410A"/>
    <w:rsid w:val="0070413A"/>
    <w:rsid w:val="0070416E"/>
    <w:rsid w:val="00704F3C"/>
    <w:rsid w:val="007156BA"/>
    <w:rsid w:val="00715CF7"/>
    <w:rsid w:val="0072384C"/>
    <w:rsid w:val="00724125"/>
    <w:rsid w:val="00726CAD"/>
    <w:rsid w:val="007270EA"/>
    <w:rsid w:val="007312B1"/>
    <w:rsid w:val="00731762"/>
    <w:rsid w:val="00732DF9"/>
    <w:rsid w:val="00736BFB"/>
    <w:rsid w:val="00740E5C"/>
    <w:rsid w:val="0074477B"/>
    <w:rsid w:val="0074511F"/>
    <w:rsid w:val="00746F93"/>
    <w:rsid w:val="00747311"/>
    <w:rsid w:val="007474AE"/>
    <w:rsid w:val="00751BC0"/>
    <w:rsid w:val="007560C1"/>
    <w:rsid w:val="00760568"/>
    <w:rsid w:val="00761154"/>
    <w:rsid w:val="0076491A"/>
    <w:rsid w:val="00764DB7"/>
    <w:rsid w:val="007660B1"/>
    <w:rsid w:val="00767DFC"/>
    <w:rsid w:val="007746C7"/>
    <w:rsid w:val="00774FB2"/>
    <w:rsid w:val="00780A76"/>
    <w:rsid w:val="00781EE2"/>
    <w:rsid w:val="0079786A"/>
    <w:rsid w:val="007A1409"/>
    <w:rsid w:val="007A448C"/>
    <w:rsid w:val="007B01FE"/>
    <w:rsid w:val="007B0620"/>
    <w:rsid w:val="007B789C"/>
    <w:rsid w:val="007C23CE"/>
    <w:rsid w:val="007C6F88"/>
    <w:rsid w:val="007D362C"/>
    <w:rsid w:val="007E31B3"/>
    <w:rsid w:val="007E3255"/>
    <w:rsid w:val="007E71D1"/>
    <w:rsid w:val="007F2F38"/>
    <w:rsid w:val="007F5839"/>
    <w:rsid w:val="007F7236"/>
    <w:rsid w:val="008030F6"/>
    <w:rsid w:val="00804E74"/>
    <w:rsid w:val="0080518D"/>
    <w:rsid w:val="00806E82"/>
    <w:rsid w:val="00810132"/>
    <w:rsid w:val="00810E42"/>
    <w:rsid w:val="00812EE9"/>
    <w:rsid w:val="0081578D"/>
    <w:rsid w:val="00820418"/>
    <w:rsid w:val="0082628B"/>
    <w:rsid w:val="00827D98"/>
    <w:rsid w:val="00841B43"/>
    <w:rsid w:val="0085465E"/>
    <w:rsid w:val="00854B75"/>
    <w:rsid w:val="00857EB8"/>
    <w:rsid w:val="0086063F"/>
    <w:rsid w:val="00870910"/>
    <w:rsid w:val="00873C18"/>
    <w:rsid w:val="008817CD"/>
    <w:rsid w:val="00883286"/>
    <w:rsid w:val="008920FA"/>
    <w:rsid w:val="008A028B"/>
    <w:rsid w:val="008A16C2"/>
    <w:rsid w:val="008A267F"/>
    <w:rsid w:val="008A58B4"/>
    <w:rsid w:val="008A7F22"/>
    <w:rsid w:val="008B05E1"/>
    <w:rsid w:val="008B1415"/>
    <w:rsid w:val="008B21AE"/>
    <w:rsid w:val="008B3FC7"/>
    <w:rsid w:val="008B49CF"/>
    <w:rsid w:val="008B50A3"/>
    <w:rsid w:val="008C102D"/>
    <w:rsid w:val="008C39B3"/>
    <w:rsid w:val="008D506E"/>
    <w:rsid w:val="008E1777"/>
    <w:rsid w:val="008F2790"/>
    <w:rsid w:val="008F5BF5"/>
    <w:rsid w:val="0090146F"/>
    <w:rsid w:val="009021A9"/>
    <w:rsid w:val="009043C9"/>
    <w:rsid w:val="0090602A"/>
    <w:rsid w:val="00911B29"/>
    <w:rsid w:val="00914D3C"/>
    <w:rsid w:val="00932B06"/>
    <w:rsid w:val="00932D55"/>
    <w:rsid w:val="009343E2"/>
    <w:rsid w:val="0093632B"/>
    <w:rsid w:val="009425F5"/>
    <w:rsid w:val="00943AD0"/>
    <w:rsid w:val="00944874"/>
    <w:rsid w:val="009470E3"/>
    <w:rsid w:val="0096334E"/>
    <w:rsid w:val="00967F37"/>
    <w:rsid w:val="009815B9"/>
    <w:rsid w:val="00984D23"/>
    <w:rsid w:val="00991F74"/>
    <w:rsid w:val="009A3D62"/>
    <w:rsid w:val="009A5238"/>
    <w:rsid w:val="009A78B6"/>
    <w:rsid w:val="009B793D"/>
    <w:rsid w:val="009C6B6A"/>
    <w:rsid w:val="009C7470"/>
    <w:rsid w:val="009D3E91"/>
    <w:rsid w:val="009E0078"/>
    <w:rsid w:val="009E2E86"/>
    <w:rsid w:val="009E5FA8"/>
    <w:rsid w:val="00A03AD4"/>
    <w:rsid w:val="00A07706"/>
    <w:rsid w:val="00A102D5"/>
    <w:rsid w:val="00A105E5"/>
    <w:rsid w:val="00A106DA"/>
    <w:rsid w:val="00A1397C"/>
    <w:rsid w:val="00A13983"/>
    <w:rsid w:val="00A234CC"/>
    <w:rsid w:val="00A23F20"/>
    <w:rsid w:val="00A40B6E"/>
    <w:rsid w:val="00A429F9"/>
    <w:rsid w:val="00A43D05"/>
    <w:rsid w:val="00A457E8"/>
    <w:rsid w:val="00A45CEC"/>
    <w:rsid w:val="00A51E14"/>
    <w:rsid w:val="00A5473E"/>
    <w:rsid w:val="00A807B2"/>
    <w:rsid w:val="00A83627"/>
    <w:rsid w:val="00A85C32"/>
    <w:rsid w:val="00A87A95"/>
    <w:rsid w:val="00A90C11"/>
    <w:rsid w:val="00A945A8"/>
    <w:rsid w:val="00A95DC4"/>
    <w:rsid w:val="00AA7AB5"/>
    <w:rsid w:val="00AA7E18"/>
    <w:rsid w:val="00AB1735"/>
    <w:rsid w:val="00AC194C"/>
    <w:rsid w:val="00AD3B11"/>
    <w:rsid w:val="00AD5A8B"/>
    <w:rsid w:val="00AD6CA8"/>
    <w:rsid w:val="00AD6DF8"/>
    <w:rsid w:val="00AD6E61"/>
    <w:rsid w:val="00AE632B"/>
    <w:rsid w:val="00AE6FAE"/>
    <w:rsid w:val="00AE716E"/>
    <w:rsid w:val="00AF18B1"/>
    <w:rsid w:val="00AF2DBC"/>
    <w:rsid w:val="00AF76BC"/>
    <w:rsid w:val="00B03032"/>
    <w:rsid w:val="00B05269"/>
    <w:rsid w:val="00B13272"/>
    <w:rsid w:val="00B13D7A"/>
    <w:rsid w:val="00B14FA8"/>
    <w:rsid w:val="00B23AA4"/>
    <w:rsid w:val="00B263F2"/>
    <w:rsid w:val="00B268BD"/>
    <w:rsid w:val="00B26DCF"/>
    <w:rsid w:val="00B27C4F"/>
    <w:rsid w:val="00B4115F"/>
    <w:rsid w:val="00B462E5"/>
    <w:rsid w:val="00B472D1"/>
    <w:rsid w:val="00B5289D"/>
    <w:rsid w:val="00B54B11"/>
    <w:rsid w:val="00B57F55"/>
    <w:rsid w:val="00B61C8D"/>
    <w:rsid w:val="00B63913"/>
    <w:rsid w:val="00B70CB3"/>
    <w:rsid w:val="00B71712"/>
    <w:rsid w:val="00B7477D"/>
    <w:rsid w:val="00B7773C"/>
    <w:rsid w:val="00B84935"/>
    <w:rsid w:val="00B8535F"/>
    <w:rsid w:val="00B92D4A"/>
    <w:rsid w:val="00B9634C"/>
    <w:rsid w:val="00BA0C3F"/>
    <w:rsid w:val="00BA1AEB"/>
    <w:rsid w:val="00BA2F98"/>
    <w:rsid w:val="00BA3A0F"/>
    <w:rsid w:val="00BA7FDD"/>
    <w:rsid w:val="00BB2435"/>
    <w:rsid w:val="00BB2869"/>
    <w:rsid w:val="00BB3309"/>
    <w:rsid w:val="00BB62AD"/>
    <w:rsid w:val="00BC1D70"/>
    <w:rsid w:val="00BD24D0"/>
    <w:rsid w:val="00BD49F6"/>
    <w:rsid w:val="00BD5FA9"/>
    <w:rsid w:val="00BD7BB0"/>
    <w:rsid w:val="00BE578D"/>
    <w:rsid w:val="00BF1322"/>
    <w:rsid w:val="00BF21E8"/>
    <w:rsid w:val="00BF795A"/>
    <w:rsid w:val="00C12E90"/>
    <w:rsid w:val="00C23D61"/>
    <w:rsid w:val="00C2703C"/>
    <w:rsid w:val="00C316ED"/>
    <w:rsid w:val="00C32299"/>
    <w:rsid w:val="00C32935"/>
    <w:rsid w:val="00C33427"/>
    <w:rsid w:val="00C33965"/>
    <w:rsid w:val="00C3408C"/>
    <w:rsid w:val="00C35675"/>
    <w:rsid w:val="00C42CC8"/>
    <w:rsid w:val="00C51BA1"/>
    <w:rsid w:val="00C52747"/>
    <w:rsid w:val="00C5280D"/>
    <w:rsid w:val="00C53CEB"/>
    <w:rsid w:val="00C56899"/>
    <w:rsid w:val="00C63CBA"/>
    <w:rsid w:val="00C67F15"/>
    <w:rsid w:val="00C7341E"/>
    <w:rsid w:val="00C7346F"/>
    <w:rsid w:val="00C75CB0"/>
    <w:rsid w:val="00C76303"/>
    <w:rsid w:val="00C82E05"/>
    <w:rsid w:val="00C865D8"/>
    <w:rsid w:val="00C95083"/>
    <w:rsid w:val="00C95B0A"/>
    <w:rsid w:val="00C966B2"/>
    <w:rsid w:val="00CA22CC"/>
    <w:rsid w:val="00CA67DE"/>
    <w:rsid w:val="00CB12B1"/>
    <w:rsid w:val="00CC12DA"/>
    <w:rsid w:val="00CC1D06"/>
    <w:rsid w:val="00CC3B45"/>
    <w:rsid w:val="00CC48F8"/>
    <w:rsid w:val="00CC7999"/>
    <w:rsid w:val="00CD0994"/>
    <w:rsid w:val="00CD1E9A"/>
    <w:rsid w:val="00CD3659"/>
    <w:rsid w:val="00CE0F1B"/>
    <w:rsid w:val="00CE1B4F"/>
    <w:rsid w:val="00CE3240"/>
    <w:rsid w:val="00CE3778"/>
    <w:rsid w:val="00CE56CF"/>
    <w:rsid w:val="00CE6F9B"/>
    <w:rsid w:val="00CE7794"/>
    <w:rsid w:val="00CF2458"/>
    <w:rsid w:val="00CF3298"/>
    <w:rsid w:val="00CF6823"/>
    <w:rsid w:val="00D0570C"/>
    <w:rsid w:val="00D2424A"/>
    <w:rsid w:val="00D35702"/>
    <w:rsid w:val="00D35EAF"/>
    <w:rsid w:val="00D4038D"/>
    <w:rsid w:val="00D469A0"/>
    <w:rsid w:val="00D51BF1"/>
    <w:rsid w:val="00D52872"/>
    <w:rsid w:val="00D52D5B"/>
    <w:rsid w:val="00D55A7D"/>
    <w:rsid w:val="00D57277"/>
    <w:rsid w:val="00D607E7"/>
    <w:rsid w:val="00D60CC8"/>
    <w:rsid w:val="00D7227C"/>
    <w:rsid w:val="00D7397A"/>
    <w:rsid w:val="00D77358"/>
    <w:rsid w:val="00D80790"/>
    <w:rsid w:val="00D831CD"/>
    <w:rsid w:val="00D902CC"/>
    <w:rsid w:val="00D961C2"/>
    <w:rsid w:val="00D9702E"/>
    <w:rsid w:val="00DA00D7"/>
    <w:rsid w:val="00DA046D"/>
    <w:rsid w:val="00DA0829"/>
    <w:rsid w:val="00DA5B07"/>
    <w:rsid w:val="00DB3769"/>
    <w:rsid w:val="00DB5E09"/>
    <w:rsid w:val="00DB5F96"/>
    <w:rsid w:val="00DC3017"/>
    <w:rsid w:val="00DC7462"/>
    <w:rsid w:val="00DD1463"/>
    <w:rsid w:val="00DD47A8"/>
    <w:rsid w:val="00DD7B9D"/>
    <w:rsid w:val="00DE045E"/>
    <w:rsid w:val="00DE2F5A"/>
    <w:rsid w:val="00DE4767"/>
    <w:rsid w:val="00DF0E8E"/>
    <w:rsid w:val="00E046C4"/>
    <w:rsid w:val="00E06FCE"/>
    <w:rsid w:val="00E078BB"/>
    <w:rsid w:val="00E12B68"/>
    <w:rsid w:val="00E22DD3"/>
    <w:rsid w:val="00E25122"/>
    <w:rsid w:val="00E27651"/>
    <w:rsid w:val="00E329AB"/>
    <w:rsid w:val="00E34372"/>
    <w:rsid w:val="00E42773"/>
    <w:rsid w:val="00E44E83"/>
    <w:rsid w:val="00E5207B"/>
    <w:rsid w:val="00E67A34"/>
    <w:rsid w:val="00E71D7C"/>
    <w:rsid w:val="00E76035"/>
    <w:rsid w:val="00E840FA"/>
    <w:rsid w:val="00E85EA5"/>
    <w:rsid w:val="00E8665C"/>
    <w:rsid w:val="00E86788"/>
    <w:rsid w:val="00E91ED4"/>
    <w:rsid w:val="00EA5B33"/>
    <w:rsid w:val="00EC0863"/>
    <w:rsid w:val="00EC6916"/>
    <w:rsid w:val="00ED3811"/>
    <w:rsid w:val="00EE048F"/>
    <w:rsid w:val="00EE3608"/>
    <w:rsid w:val="00EE3F2B"/>
    <w:rsid w:val="00EF358A"/>
    <w:rsid w:val="00EF5217"/>
    <w:rsid w:val="00F0173F"/>
    <w:rsid w:val="00F0182D"/>
    <w:rsid w:val="00F0711A"/>
    <w:rsid w:val="00F15385"/>
    <w:rsid w:val="00F1545A"/>
    <w:rsid w:val="00F2598B"/>
    <w:rsid w:val="00F312E6"/>
    <w:rsid w:val="00F31DA9"/>
    <w:rsid w:val="00F351B2"/>
    <w:rsid w:val="00F35715"/>
    <w:rsid w:val="00F37788"/>
    <w:rsid w:val="00F4216B"/>
    <w:rsid w:val="00F639A9"/>
    <w:rsid w:val="00F64158"/>
    <w:rsid w:val="00F7096F"/>
    <w:rsid w:val="00F7153D"/>
    <w:rsid w:val="00F813EA"/>
    <w:rsid w:val="00F87B7E"/>
    <w:rsid w:val="00F919A9"/>
    <w:rsid w:val="00F94137"/>
    <w:rsid w:val="00F95781"/>
    <w:rsid w:val="00F96C53"/>
    <w:rsid w:val="00F96F30"/>
    <w:rsid w:val="00FA1C22"/>
    <w:rsid w:val="00FA4B66"/>
    <w:rsid w:val="00FA546B"/>
    <w:rsid w:val="00FA5EE7"/>
    <w:rsid w:val="00FA6D05"/>
    <w:rsid w:val="00FB3D8E"/>
    <w:rsid w:val="00FC3AA9"/>
    <w:rsid w:val="00FC412C"/>
    <w:rsid w:val="00FC5009"/>
    <w:rsid w:val="00FD1DC1"/>
    <w:rsid w:val="00FD230F"/>
    <w:rsid w:val="00FD2C22"/>
    <w:rsid w:val="00FE4262"/>
    <w:rsid w:val="00FE5F08"/>
    <w:rsid w:val="00FE7078"/>
    <w:rsid w:val="00FF3B6B"/>
    <w:rsid w:val="00FF455B"/>
    <w:rsid w:val="00FF5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3FA"/>
    <w:rPr>
      <w:sz w:val="24"/>
      <w:szCs w:val="24"/>
    </w:rPr>
  </w:style>
  <w:style w:type="paragraph" w:styleId="berschrift1">
    <w:name w:val="heading 1"/>
    <w:basedOn w:val="Standard"/>
    <w:next w:val="Standard"/>
    <w:qFormat/>
    <w:rsid w:val="002063FA"/>
    <w:pPr>
      <w:keepNext/>
      <w:jc w:val="center"/>
      <w:outlineLvl w:val="0"/>
    </w:pPr>
    <w:rPr>
      <w:b/>
      <w:bCs/>
      <w:sz w:val="40"/>
      <w:szCs w:val="40"/>
    </w:rPr>
  </w:style>
  <w:style w:type="paragraph" w:styleId="berschrift2">
    <w:name w:val="heading 2"/>
    <w:basedOn w:val="Standard"/>
    <w:next w:val="Standard"/>
    <w:qFormat/>
    <w:rsid w:val="002063FA"/>
    <w:pPr>
      <w:keepNext/>
      <w:outlineLvl w:val="1"/>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2063FA"/>
    <w:pPr>
      <w:spacing w:before="120" w:after="120"/>
    </w:pPr>
    <w:rPr>
      <w:b/>
      <w:bCs/>
      <w:sz w:val="20"/>
      <w:szCs w:val="20"/>
    </w:rPr>
  </w:style>
  <w:style w:type="paragraph" w:styleId="Titel">
    <w:name w:val="Title"/>
    <w:basedOn w:val="Standard"/>
    <w:link w:val="TitelZchn"/>
    <w:qFormat/>
    <w:rsid w:val="00095155"/>
    <w:pPr>
      <w:jc w:val="center"/>
    </w:pPr>
    <w:rPr>
      <w:b/>
    </w:rPr>
  </w:style>
  <w:style w:type="character" w:customStyle="1" w:styleId="TitelZchn">
    <w:name w:val="Titel Zchn"/>
    <w:basedOn w:val="Absatz-Standardschriftart"/>
    <w:link w:val="Titel"/>
    <w:rsid w:val="00095155"/>
    <w:rPr>
      <w:b/>
      <w:sz w:val="24"/>
      <w:szCs w:val="24"/>
    </w:rPr>
  </w:style>
  <w:style w:type="paragraph" w:styleId="Textkrper">
    <w:name w:val="Body Text"/>
    <w:basedOn w:val="Standard"/>
    <w:link w:val="TextkrperZchn"/>
    <w:rsid w:val="00B5289D"/>
    <w:pPr>
      <w:jc w:val="both"/>
    </w:pPr>
    <w:rPr>
      <w:sz w:val="22"/>
      <w:szCs w:val="22"/>
    </w:rPr>
  </w:style>
  <w:style w:type="character" w:customStyle="1" w:styleId="TextkrperZchn">
    <w:name w:val="Textkörper Zchn"/>
    <w:basedOn w:val="Absatz-Standardschriftart"/>
    <w:link w:val="Textkrper"/>
    <w:rsid w:val="00B5289D"/>
    <w:rPr>
      <w:sz w:val="22"/>
      <w:szCs w:val="22"/>
    </w:rPr>
  </w:style>
  <w:style w:type="table" w:customStyle="1" w:styleId="aa-math">
    <w:name w:val="aa-math"/>
    <w:basedOn w:val="NormaleTabelle"/>
    <w:rsid w:val="00143055"/>
    <w:tblPr>
      <w:jc w:val="center"/>
      <w:tblInd w:w="0" w:type="dxa"/>
      <w:tblCellMar>
        <w:top w:w="43" w:type="dxa"/>
        <w:left w:w="43" w:type="dxa"/>
        <w:bottom w:w="43" w:type="dxa"/>
        <w:right w:w="43" w:type="dxa"/>
      </w:tblCellMar>
    </w:tblPr>
    <w:trPr>
      <w:jc w:val="center"/>
    </w:trPr>
    <w:tcPr>
      <w:vAlign w:val="center"/>
    </w:tcPr>
  </w:style>
  <w:style w:type="paragraph" w:styleId="Sprechblasentext">
    <w:name w:val="Balloon Text"/>
    <w:basedOn w:val="Standard"/>
    <w:link w:val="SprechblasentextZchn"/>
    <w:uiPriority w:val="99"/>
    <w:semiHidden/>
    <w:unhideWhenUsed/>
    <w:rsid w:val="001523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305"/>
    <w:rPr>
      <w:rFonts w:ascii="Tahoma" w:hAnsi="Tahoma" w:cs="Tahoma"/>
      <w:sz w:val="16"/>
      <w:szCs w:val="16"/>
    </w:rPr>
  </w:style>
  <w:style w:type="table" w:styleId="Tabellengitternetz">
    <w:name w:val="Table Grid"/>
    <w:basedOn w:val="NormaleTabelle"/>
    <w:uiPriority w:val="59"/>
    <w:rsid w:val="000F0E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5F3E21"/>
    <w:rPr>
      <w:color w:val="808080"/>
    </w:rPr>
  </w:style>
  <w:style w:type="paragraph" w:styleId="Textkrper-Einzug2">
    <w:name w:val="Body Text Indent 2"/>
    <w:basedOn w:val="Standard"/>
    <w:link w:val="Textkrper-Einzug2Zchn"/>
    <w:uiPriority w:val="99"/>
    <w:semiHidden/>
    <w:unhideWhenUsed/>
    <w:rsid w:val="006C3335"/>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C3335"/>
    <w:rPr>
      <w:sz w:val="24"/>
      <w:szCs w:val="24"/>
    </w:rPr>
  </w:style>
  <w:style w:type="paragraph" w:styleId="Kopfzeile">
    <w:name w:val="header"/>
    <w:basedOn w:val="Standard"/>
    <w:link w:val="KopfzeileZchn"/>
    <w:uiPriority w:val="99"/>
    <w:unhideWhenUsed/>
    <w:rsid w:val="008030F6"/>
    <w:pPr>
      <w:tabs>
        <w:tab w:val="center" w:pos="4680"/>
        <w:tab w:val="right" w:pos="9360"/>
      </w:tabs>
    </w:pPr>
  </w:style>
  <w:style w:type="character" w:customStyle="1" w:styleId="KopfzeileZchn">
    <w:name w:val="Kopfzeile Zchn"/>
    <w:basedOn w:val="Absatz-Standardschriftart"/>
    <w:link w:val="Kopfzeile"/>
    <w:uiPriority w:val="99"/>
    <w:rsid w:val="008030F6"/>
    <w:rPr>
      <w:sz w:val="24"/>
      <w:szCs w:val="24"/>
    </w:rPr>
  </w:style>
  <w:style w:type="paragraph" w:styleId="Fuzeile">
    <w:name w:val="footer"/>
    <w:basedOn w:val="Standard"/>
    <w:link w:val="FuzeileZchn"/>
    <w:uiPriority w:val="99"/>
    <w:semiHidden/>
    <w:unhideWhenUsed/>
    <w:rsid w:val="008030F6"/>
    <w:pPr>
      <w:tabs>
        <w:tab w:val="center" w:pos="4680"/>
        <w:tab w:val="right" w:pos="9360"/>
      </w:tabs>
    </w:pPr>
  </w:style>
  <w:style w:type="character" w:customStyle="1" w:styleId="FuzeileZchn">
    <w:name w:val="Fußzeile Zchn"/>
    <w:basedOn w:val="Absatz-Standardschriftart"/>
    <w:link w:val="Fuzeile"/>
    <w:uiPriority w:val="99"/>
    <w:semiHidden/>
    <w:rsid w:val="008030F6"/>
    <w:rPr>
      <w:sz w:val="24"/>
      <w:szCs w:val="24"/>
    </w:rPr>
  </w:style>
  <w:style w:type="paragraph" w:styleId="Listenabsatz">
    <w:name w:val="List Paragraph"/>
    <w:basedOn w:val="Standard"/>
    <w:uiPriority w:val="34"/>
    <w:qFormat/>
    <w:rsid w:val="002D45C6"/>
    <w:pPr>
      <w:ind w:left="720"/>
      <w:contextualSpacing/>
    </w:pPr>
  </w:style>
  <w:style w:type="paragraph" w:styleId="Dokumentstruktur">
    <w:name w:val="Document Map"/>
    <w:basedOn w:val="Standard"/>
    <w:link w:val="DokumentstrukturZchn"/>
    <w:uiPriority w:val="99"/>
    <w:semiHidden/>
    <w:unhideWhenUsed/>
    <w:rsid w:val="00416B9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16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9</vt:lpstr>
    </vt:vector>
  </TitlesOfParts>
  <Company>FE</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John Fanchi</dc:creator>
  <cp:lastModifiedBy> </cp:lastModifiedBy>
  <cp:revision>3</cp:revision>
  <cp:lastPrinted>2009-12-01T19:46:00Z</cp:lastPrinted>
  <dcterms:created xsi:type="dcterms:W3CDTF">2010-06-12T15:46:00Z</dcterms:created>
  <dcterms:modified xsi:type="dcterms:W3CDTF">2010-06-12T15:46:00Z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